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AC762F" w14:textId="77777777" w:rsidR="00E72CA9" w:rsidRPr="00AD0DD0" w:rsidRDefault="00D516E3">
      <w:pPr>
        <w:jc w:val="right"/>
        <w:rPr>
          <w:lang w:eastAsia="ja-JP"/>
        </w:rPr>
      </w:pPr>
      <w:r>
        <w:t xml:space="preserve">ICRP ref: </w:t>
      </w:r>
      <w:r>
        <w:rPr>
          <w:rFonts w:hint="eastAsia"/>
          <w:lang w:eastAsia="ja-JP"/>
        </w:rPr>
        <w:t>4865-5595-3595</w:t>
      </w:r>
    </w:p>
    <w:p w14:paraId="383E9415" w14:textId="77777777" w:rsidR="00E72CA9" w:rsidRPr="00AD0DD0" w:rsidRDefault="00E72CA9">
      <w:pPr>
        <w:pStyle w:val="notesdontuse"/>
        <w:rPr>
          <w:color w:val="auto"/>
        </w:rPr>
      </w:pPr>
    </w:p>
    <w:p w14:paraId="53C3CD82" w14:textId="77777777" w:rsidR="00E72CA9" w:rsidRDefault="00E72CA9">
      <w:pPr>
        <w:pStyle w:val="ICRPtitlepage"/>
      </w:pPr>
    </w:p>
    <w:p w14:paraId="19AFD2F0" w14:textId="77777777" w:rsidR="00E72CA9" w:rsidRDefault="00D516E3">
      <w:pPr>
        <w:pStyle w:val="ICRPtitlepage"/>
        <w:rPr>
          <w:rFonts w:ascii="Arial" w:hAnsi="Arial" w:cs="Arial"/>
          <w:sz w:val="100"/>
          <w:szCs w:val="100"/>
        </w:rPr>
      </w:pPr>
      <w:r>
        <w:rPr>
          <w:rFonts w:ascii="Arial" w:hAnsi="Arial" w:cs="Arial"/>
          <w:sz w:val="100"/>
          <w:szCs w:val="100"/>
        </w:rPr>
        <w:t>Annals of the ICRP</w:t>
      </w:r>
    </w:p>
    <w:p w14:paraId="093C0B72" w14:textId="77777777" w:rsidR="00E72CA9" w:rsidRDefault="00E72CA9">
      <w:pPr>
        <w:pStyle w:val="ICRPtitlepage"/>
      </w:pPr>
    </w:p>
    <w:p w14:paraId="5F8FC81D" w14:textId="77777777" w:rsidR="00E72CA9" w:rsidRDefault="00E72CA9">
      <w:pPr>
        <w:pStyle w:val="ICRPtitlepage"/>
      </w:pPr>
    </w:p>
    <w:p w14:paraId="29FCE71D" w14:textId="77777777" w:rsidR="00E72CA9" w:rsidRDefault="00D516E3">
      <w:pPr>
        <w:pStyle w:val="ICRPtitlepage"/>
      </w:pPr>
      <w:r>
        <w:t>ICRP PUBLICATION XXX</w:t>
      </w:r>
    </w:p>
    <w:p w14:paraId="663B108F" w14:textId="77777777" w:rsidR="00E72CA9" w:rsidRDefault="00E72CA9">
      <w:pPr>
        <w:pStyle w:val="ICRPtitlepage"/>
      </w:pPr>
    </w:p>
    <w:p w14:paraId="02F733AA" w14:textId="77777777" w:rsidR="00E72CA9" w:rsidRDefault="00E72CA9">
      <w:pPr>
        <w:pStyle w:val="ICRPtitlepage"/>
      </w:pPr>
    </w:p>
    <w:p w14:paraId="6085C1F2" w14:textId="77777777" w:rsidR="00E72CA9" w:rsidRDefault="00D516E3">
      <w:pPr>
        <w:jc w:val="center"/>
        <w:rPr>
          <w:bCs/>
          <w:sz w:val="48"/>
          <w:szCs w:val="48"/>
        </w:rPr>
      </w:pPr>
      <w:r>
        <w:rPr>
          <w:bCs/>
          <w:sz w:val="48"/>
          <w:szCs w:val="48"/>
        </w:rPr>
        <w:t xml:space="preserve">Reference Organ Absorbed and Effective </w:t>
      </w:r>
    </w:p>
    <w:p w14:paraId="066E3BCF" w14:textId="77777777" w:rsidR="00E72CA9" w:rsidRDefault="00D516E3">
      <w:pPr>
        <w:jc w:val="center"/>
        <w:rPr>
          <w:bCs/>
          <w:sz w:val="48"/>
          <w:szCs w:val="48"/>
        </w:rPr>
      </w:pPr>
      <w:r>
        <w:rPr>
          <w:bCs/>
          <w:sz w:val="48"/>
          <w:szCs w:val="48"/>
        </w:rPr>
        <w:t xml:space="preserve">Dose Coefficients for </w:t>
      </w:r>
    </w:p>
    <w:p w14:paraId="4DF924FA" w14:textId="77777777" w:rsidR="00E72CA9" w:rsidRDefault="00D516E3">
      <w:pPr>
        <w:jc w:val="center"/>
        <w:rPr>
          <w:bCs/>
          <w:sz w:val="48"/>
          <w:szCs w:val="48"/>
        </w:rPr>
      </w:pPr>
      <w:r>
        <w:rPr>
          <w:bCs/>
          <w:sz w:val="48"/>
          <w:szCs w:val="48"/>
        </w:rPr>
        <w:t>Common Radiographic Examinations</w:t>
      </w:r>
    </w:p>
    <w:p w14:paraId="6A0C6E2C" w14:textId="77777777" w:rsidR="00E72CA9" w:rsidRDefault="00E72CA9">
      <w:pPr>
        <w:pStyle w:val="ICRPtitlepage"/>
      </w:pPr>
    </w:p>
    <w:p w14:paraId="79EB88A4" w14:textId="77777777" w:rsidR="00E72CA9" w:rsidRDefault="00E72CA9">
      <w:pPr>
        <w:pStyle w:val="ICRPtitlepage"/>
      </w:pPr>
    </w:p>
    <w:p w14:paraId="5BE5E2AE" w14:textId="77777777" w:rsidR="00E72CA9" w:rsidRDefault="00D516E3">
      <w:pPr>
        <w:pStyle w:val="ICRPtitlepage"/>
      </w:pPr>
      <w:r>
        <w:t>Editor-in-Chief</w:t>
      </w:r>
    </w:p>
    <w:p w14:paraId="1D3604A8" w14:textId="77777777" w:rsidR="00E72CA9" w:rsidRDefault="00D516E3">
      <w:pPr>
        <w:pStyle w:val="ICRPtitlepage"/>
      </w:pPr>
      <w:r>
        <w:t>C.H. CLEMENT</w:t>
      </w:r>
    </w:p>
    <w:p w14:paraId="3C5D5389" w14:textId="77777777" w:rsidR="00E72CA9" w:rsidRDefault="00E72CA9">
      <w:pPr>
        <w:pStyle w:val="ICRPtitlepage"/>
      </w:pPr>
    </w:p>
    <w:p w14:paraId="635A7294" w14:textId="77777777" w:rsidR="00E72CA9" w:rsidRDefault="00D516E3">
      <w:pPr>
        <w:pStyle w:val="ICRPtitlepage"/>
        <w:rPr>
          <w:rFonts w:eastAsiaTheme="minorEastAsia"/>
          <w:lang w:eastAsia="ja-JP"/>
        </w:rPr>
      </w:pPr>
      <w:r>
        <w:t>Associate Editor</w:t>
      </w:r>
      <w:r>
        <w:rPr>
          <w:rFonts w:eastAsiaTheme="minorEastAsia" w:hint="eastAsia"/>
          <w:lang w:eastAsia="ja-JP"/>
        </w:rPr>
        <w:t>s</w:t>
      </w:r>
    </w:p>
    <w:p w14:paraId="1FEA805E" w14:textId="77777777" w:rsidR="00E72CA9" w:rsidRDefault="00D516E3">
      <w:pPr>
        <w:pStyle w:val="ICRPtitlepage"/>
      </w:pPr>
      <w:r>
        <w:t>T. YASUMUNE</w:t>
      </w:r>
    </w:p>
    <w:p w14:paraId="024B5F82" w14:textId="77777777" w:rsidR="00E72CA9" w:rsidRDefault="00D516E3">
      <w:pPr>
        <w:pStyle w:val="ICRPtitlepage"/>
      </w:pPr>
      <w:r>
        <w:t>K. NAKAMURA</w:t>
      </w:r>
    </w:p>
    <w:p w14:paraId="209BAB09" w14:textId="77777777" w:rsidR="00E72CA9" w:rsidRDefault="00E72CA9">
      <w:pPr>
        <w:pStyle w:val="ICRPtitlepage"/>
      </w:pPr>
    </w:p>
    <w:p w14:paraId="0EFD4394" w14:textId="77777777" w:rsidR="00E72CA9" w:rsidRDefault="00E72CA9">
      <w:pPr>
        <w:pStyle w:val="ICRPtitlepage"/>
      </w:pPr>
    </w:p>
    <w:p w14:paraId="25163DF0" w14:textId="77777777" w:rsidR="00E72CA9" w:rsidRDefault="00D516E3">
      <w:pPr>
        <w:pStyle w:val="ICRPtitlepage"/>
      </w:pPr>
      <w:r>
        <w:t>Authors on behalf of ICRP</w:t>
      </w:r>
    </w:p>
    <w:p w14:paraId="6152EA5D" w14:textId="77777777" w:rsidR="00E72CA9" w:rsidRDefault="00D516E3">
      <w:pPr>
        <w:pStyle w:val="ICRPtitlepage"/>
      </w:pPr>
      <w:r>
        <w:t xml:space="preserve">N. Petoussi-Henss, D.G. Sutton, Y. Soo Yeom, M. Zankl, K. Applegate, </w:t>
      </w:r>
    </w:p>
    <w:p w14:paraId="44F5EB3E" w14:textId="77777777" w:rsidR="00E72CA9" w:rsidRDefault="00D516E3">
      <w:pPr>
        <w:pStyle w:val="ICRPtitlepage"/>
        <w:rPr>
          <w:lang w:val="de-DE"/>
        </w:rPr>
      </w:pPr>
      <w:r>
        <w:rPr>
          <w:lang w:val="de-DE"/>
        </w:rPr>
        <w:t>D. L. Miller, H. Schlattl, J. Jansen, C. Lee, J. Li, Y. Lee</w:t>
      </w:r>
    </w:p>
    <w:p w14:paraId="294E9439" w14:textId="77777777" w:rsidR="00E72CA9" w:rsidRDefault="00E72CA9">
      <w:pPr>
        <w:pStyle w:val="ICRPtitlepage"/>
        <w:rPr>
          <w:lang w:val="de-DE"/>
        </w:rPr>
      </w:pPr>
    </w:p>
    <w:p w14:paraId="46991B5C" w14:textId="77777777" w:rsidR="00E72CA9" w:rsidRDefault="00D516E3">
      <w:pPr>
        <w:pStyle w:val="ICRPtitlepage"/>
      </w:pPr>
      <w:r>
        <w:t>PUBLISHED FOR</w:t>
      </w:r>
    </w:p>
    <w:p w14:paraId="7ABB6B4A" w14:textId="77777777" w:rsidR="00E72CA9" w:rsidRDefault="00E72CA9">
      <w:pPr>
        <w:pStyle w:val="ICRPtitlepage"/>
      </w:pPr>
    </w:p>
    <w:p w14:paraId="030FF20B" w14:textId="77777777" w:rsidR="00E72CA9" w:rsidRDefault="00D516E3">
      <w:pPr>
        <w:pStyle w:val="ICRPtitlepage"/>
      </w:pPr>
      <w:r>
        <w:t>The International Commission on Radiological Protection</w:t>
      </w:r>
    </w:p>
    <w:p w14:paraId="15C542BA" w14:textId="77777777" w:rsidR="00E72CA9" w:rsidRDefault="00E72CA9">
      <w:pPr>
        <w:pStyle w:val="ICRPtitlepage"/>
      </w:pPr>
    </w:p>
    <w:p w14:paraId="4B9D8BED" w14:textId="77777777" w:rsidR="00E72CA9" w:rsidRDefault="00D516E3">
      <w:pPr>
        <w:pStyle w:val="ICRPtitlepage"/>
      </w:pPr>
      <w:r>
        <w:t>by</w:t>
      </w:r>
    </w:p>
    <w:p w14:paraId="760DCFF9" w14:textId="77777777" w:rsidR="00E72CA9" w:rsidRDefault="00E72CA9">
      <w:pPr>
        <w:pStyle w:val="ICRPtitlepage"/>
      </w:pPr>
    </w:p>
    <w:p w14:paraId="0AF06B3C" w14:textId="77777777" w:rsidR="00E72CA9" w:rsidRDefault="00D516E3">
      <w:pPr>
        <w:pStyle w:val="ICRPtitlepage"/>
      </w:pP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rPr>
          <w:noProof/>
          <w:lang w:eastAsia="en-GB"/>
        </w:rPr>
        <w:drawing>
          <wp:inline distT="0" distB="0" distL="0" distR="0" wp14:anchorId="146DF1BB" wp14:editId="58DF3D6B">
            <wp:extent cx="1680845" cy="628015"/>
            <wp:effectExtent l="0" t="0" r="0" b="0"/>
            <wp:docPr id="1" name="Picture 1" descr="SAGE Journals - HeinOnli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AGE Journals - HeinOnline"/>
                    <pic:cNvPicPr>
                      <a:picLocks/>
                    </pic:cNvPicPr>
                  </pic:nvPicPr>
                  <pic:blipFill>
                    <a:blip r:embed="rId8" cstate="email">
                      <a:grayscl/>
                      <a:biLevel thresh="50000"/>
                      <a:extLst>
                        <a:ext uri="{28A0092B-C50C-407E-A947-70E740481C1C}">
                          <a14:useLocalDpi xmlns:a14="http://schemas.microsoft.com/office/drawing/2010/main"/>
                        </a:ext>
                      </a:extLst>
                    </a:blip>
                    <a:srcRect/>
                    <a:stretch>
                      <a:fillRect/>
                    </a:stretch>
                  </pic:blipFill>
                  <pic:spPr bwMode="auto">
                    <a:xfrm>
                      <a:off x="0" y="0"/>
                      <a:ext cx="1680845" cy="62801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444EA64D" w14:textId="77777777" w:rsidR="00E72CA9" w:rsidRDefault="00E72CA9">
      <w:pPr>
        <w:pStyle w:val="ICRPtitlepage"/>
      </w:pPr>
    </w:p>
    <w:p w14:paraId="184EB915" w14:textId="77777777" w:rsidR="00E72CA9" w:rsidRDefault="00D516E3">
      <w:pPr>
        <w:pStyle w:val="ICRPtitlepage"/>
        <w:rPr>
          <w:lang w:val="de-DE"/>
        </w:rPr>
      </w:pPr>
      <w:r>
        <w:t xml:space="preserve">Please cite this issue as ‘ICRP, 20xx. Title of the publication. ICRP Publication XXX. Ann. </w:t>
      </w:r>
      <w:r>
        <w:rPr>
          <w:lang w:val="de-DE"/>
        </w:rPr>
        <w:t>ICRP xx(x).’</w:t>
      </w:r>
    </w:p>
    <w:p w14:paraId="1F1F1DB1" w14:textId="77777777" w:rsidR="00E72CA9" w:rsidRDefault="00D516E3">
      <w:pPr>
        <w:pStyle w:val="Heading1nonumbering"/>
        <w:rPr>
          <w:lang w:val="de-DE"/>
        </w:rPr>
      </w:pPr>
      <w:r>
        <w:rPr>
          <w:lang w:val="de-DE"/>
        </w:rPr>
        <w:br w:type="page"/>
      </w:r>
      <w:bookmarkStart w:id="0" w:name="_Toc158293319"/>
      <w:r>
        <w:rPr>
          <w:lang w:val="de-DE"/>
        </w:rPr>
        <w:lastRenderedPageBreak/>
        <w:t>CONTENTS</w:t>
      </w:r>
      <w:bookmarkEnd w:id="0"/>
    </w:p>
    <w:p w14:paraId="07C2D896" w14:textId="77777777" w:rsidR="00E72CA9" w:rsidRDefault="00D516E3">
      <w:pPr>
        <w:spacing w:before="120" w:after="120"/>
        <w:rPr>
          <w:bCs/>
          <w:sz w:val="22"/>
          <w:lang w:eastAsia="ja-JP"/>
        </w:rPr>
      </w:pPr>
      <w:bookmarkStart w:id="1" w:name="_Toc336006535"/>
      <w:bookmarkStart w:id="2" w:name="_Toc6997818"/>
      <w:bookmarkStart w:id="3" w:name="_Toc6997909"/>
      <w:bookmarkStart w:id="4" w:name="_Toc6998172"/>
      <w:bookmarkStart w:id="5" w:name="_Toc6998297"/>
      <w:bookmarkStart w:id="6" w:name="_Toc6998387"/>
      <w:r>
        <w:rPr>
          <w:bCs/>
          <w:sz w:val="22"/>
          <w:lang w:eastAsia="ja-JP"/>
        </w:rPr>
        <w:t>ABSTRACT ............................................................................................................................................4</w:t>
      </w:r>
    </w:p>
    <w:bookmarkEnd w:id="1"/>
    <w:bookmarkEnd w:id="2"/>
    <w:bookmarkEnd w:id="3"/>
    <w:bookmarkEnd w:id="4"/>
    <w:bookmarkEnd w:id="5"/>
    <w:bookmarkEnd w:id="6"/>
    <w:p w14:paraId="58FB9854" w14:textId="77777777" w:rsidR="00E72CA9" w:rsidRDefault="00D516E3">
      <w:pPr>
        <w:pStyle w:val="13"/>
        <w:rPr>
          <w:rFonts w:asciiTheme="minorHAnsi" w:eastAsiaTheme="minorEastAsia" w:hAnsiTheme="minorHAnsi" w:cstheme="minorBidi"/>
          <w:bCs w:val="0"/>
          <w:iCs w:val="0"/>
          <w:caps w:val="0"/>
          <w:kern w:val="2"/>
          <w:sz w:val="24"/>
          <w:szCs w:val="24"/>
          <w:lang w:eastAsia="ja-JP"/>
          <w14:ligatures w14:val="standardContextual"/>
        </w:rPr>
      </w:pPr>
      <w:r>
        <w:rPr>
          <w:bCs w:val="0"/>
          <w:iCs w:val="0"/>
          <w:caps w:val="0"/>
        </w:rPr>
        <w:fldChar w:fldCharType="begin"/>
      </w:r>
      <w:r>
        <w:rPr>
          <w:bCs w:val="0"/>
          <w:iCs w:val="0"/>
          <w:caps w:val="0"/>
        </w:rPr>
        <w:instrText xml:space="preserve"> TOC \o "1-2" \h \z \u </w:instrText>
      </w:r>
      <w:r>
        <w:rPr>
          <w:bCs w:val="0"/>
          <w:iCs w:val="0"/>
          <w:caps w:val="0"/>
        </w:rPr>
        <w:fldChar w:fldCharType="separate"/>
      </w:r>
      <w:hyperlink w:anchor="_Toc165302032" w:history="1">
        <w:r>
          <w:rPr>
            <w:rStyle w:val="a5"/>
          </w:rPr>
          <w:t>MAIN POINTS</w:t>
        </w:r>
        <w:r>
          <w:rPr>
            <w:webHidden/>
          </w:rPr>
          <w:tab/>
        </w:r>
        <w:r>
          <w:rPr>
            <w:webHidden/>
          </w:rPr>
          <w:fldChar w:fldCharType="begin"/>
        </w:r>
        <w:r>
          <w:rPr>
            <w:webHidden/>
          </w:rPr>
          <w:instrText xml:space="preserve"> PAGEREF _Toc165302032 \h </w:instrText>
        </w:r>
        <w:r>
          <w:rPr>
            <w:webHidden/>
          </w:rPr>
        </w:r>
        <w:r>
          <w:rPr>
            <w:webHidden/>
          </w:rPr>
          <w:fldChar w:fldCharType="separate"/>
        </w:r>
        <w:r>
          <w:rPr>
            <w:webHidden/>
          </w:rPr>
          <w:t>5</w:t>
        </w:r>
        <w:r>
          <w:rPr>
            <w:webHidden/>
          </w:rPr>
          <w:fldChar w:fldCharType="end"/>
        </w:r>
      </w:hyperlink>
    </w:p>
    <w:p w14:paraId="470FC44E"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33" w:history="1">
        <w:r w:rsidR="00D516E3">
          <w:rPr>
            <w:rStyle w:val="a5"/>
          </w:rPr>
          <w:t>1.</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INTRODUCTION</w:t>
        </w:r>
        <w:r w:rsidR="00D516E3">
          <w:rPr>
            <w:webHidden/>
          </w:rPr>
          <w:tab/>
        </w:r>
        <w:r w:rsidR="00D516E3">
          <w:rPr>
            <w:webHidden/>
          </w:rPr>
          <w:fldChar w:fldCharType="begin"/>
        </w:r>
        <w:r w:rsidR="00D516E3">
          <w:rPr>
            <w:webHidden/>
          </w:rPr>
          <w:instrText xml:space="preserve"> PAGEREF _Toc165302033 \h </w:instrText>
        </w:r>
        <w:r w:rsidR="00D516E3">
          <w:rPr>
            <w:webHidden/>
          </w:rPr>
        </w:r>
        <w:r w:rsidR="00D516E3">
          <w:rPr>
            <w:webHidden/>
          </w:rPr>
          <w:fldChar w:fldCharType="separate"/>
        </w:r>
        <w:r w:rsidR="00D516E3">
          <w:rPr>
            <w:webHidden/>
          </w:rPr>
          <w:t>6</w:t>
        </w:r>
        <w:r w:rsidR="00D516E3">
          <w:rPr>
            <w:webHidden/>
          </w:rPr>
          <w:fldChar w:fldCharType="end"/>
        </w:r>
      </w:hyperlink>
    </w:p>
    <w:p w14:paraId="42EAAC7E"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34" w:history="1">
        <w:r w:rsidR="00D516E3">
          <w:rPr>
            <w:rStyle w:val="a5"/>
          </w:rPr>
          <w:t>2.</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THE ICRP REFERENCE PHANTOMS</w:t>
        </w:r>
        <w:r w:rsidR="00D516E3">
          <w:rPr>
            <w:webHidden/>
          </w:rPr>
          <w:tab/>
        </w:r>
        <w:r w:rsidR="00D516E3">
          <w:rPr>
            <w:webHidden/>
          </w:rPr>
          <w:fldChar w:fldCharType="begin"/>
        </w:r>
        <w:r w:rsidR="00D516E3">
          <w:rPr>
            <w:webHidden/>
          </w:rPr>
          <w:instrText xml:space="preserve"> PAGEREF _Toc165302034 \h </w:instrText>
        </w:r>
        <w:r w:rsidR="00D516E3">
          <w:rPr>
            <w:webHidden/>
          </w:rPr>
        </w:r>
        <w:r w:rsidR="00D516E3">
          <w:rPr>
            <w:webHidden/>
          </w:rPr>
          <w:fldChar w:fldCharType="separate"/>
        </w:r>
        <w:r w:rsidR="00D516E3">
          <w:rPr>
            <w:webHidden/>
          </w:rPr>
          <w:t>11</w:t>
        </w:r>
        <w:r w:rsidR="00D516E3">
          <w:rPr>
            <w:webHidden/>
          </w:rPr>
          <w:fldChar w:fldCharType="end"/>
        </w:r>
      </w:hyperlink>
    </w:p>
    <w:p w14:paraId="3FE8348A"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35" w:history="1">
        <w:r w:rsidR="00D516E3">
          <w:rPr>
            <w:rStyle w:val="a5"/>
            <w:noProof/>
          </w:rPr>
          <w:t>2.1.</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Adult reference computational phantoms</w:t>
        </w:r>
        <w:r w:rsidR="00D516E3">
          <w:rPr>
            <w:noProof/>
            <w:webHidden/>
          </w:rPr>
          <w:tab/>
        </w:r>
        <w:r w:rsidR="00D516E3">
          <w:rPr>
            <w:noProof/>
            <w:webHidden/>
          </w:rPr>
          <w:fldChar w:fldCharType="begin"/>
        </w:r>
        <w:r w:rsidR="00D516E3">
          <w:rPr>
            <w:noProof/>
            <w:webHidden/>
          </w:rPr>
          <w:instrText xml:space="preserve"> PAGEREF _Toc165302035 \h </w:instrText>
        </w:r>
        <w:r w:rsidR="00D516E3">
          <w:rPr>
            <w:noProof/>
            <w:webHidden/>
          </w:rPr>
        </w:r>
        <w:r w:rsidR="00D516E3">
          <w:rPr>
            <w:noProof/>
            <w:webHidden/>
          </w:rPr>
          <w:fldChar w:fldCharType="separate"/>
        </w:r>
        <w:r w:rsidR="00D516E3">
          <w:rPr>
            <w:noProof/>
            <w:webHidden/>
          </w:rPr>
          <w:t>11</w:t>
        </w:r>
        <w:r w:rsidR="00D516E3">
          <w:rPr>
            <w:noProof/>
            <w:webHidden/>
          </w:rPr>
          <w:fldChar w:fldCharType="end"/>
        </w:r>
      </w:hyperlink>
    </w:p>
    <w:p w14:paraId="4A347902"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36" w:history="1">
        <w:r w:rsidR="00D516E3">
          <w:rPr>
            <w:rStyle w:val="a5"/>
            <w:noProof/>
          </w:rPr>
          <w:t>2.2.</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Paediatric reference phantoms</w:t>
        </w:r>
        <w:r w:rsidR="00D516E3">
          <w:rPr>
            <w:noProof/>
            <w:webHidden/>
          </w:rPr>
          <w:tab/>
        </w:r>
        <w:r w:rsidR="00D516E3">
          <w:rPr>
            <w:noProof/>
            <w:webHidden/>
          </w:rPr>
          <w:fldChar w:fldCharType="begin"/>
        </w:r>
        <w:r w:rsidR="00D516E3">
          <w:rPr>
            <w:noProof/>
            <w:webHidden/>
          </w:rPr>
          <w:instrText xml:space="preserve"> PAGEREF _Toc165302036 \h </w:instrText>
        </w:r>
        <w:r w:rsidR="00D516E3">
          <w:rPr>
            <w:noProof/>
            <w:webHidden/>
          </w:rPr>
        </w:r>
        <w:r w:rsidR="00D516E3">
          <w:rPr>
            <w:noProof/>
            <w:webHidden/>
          </w:rPr>
          <w:fldChar w:fldCharType="separate"/>
        </w:r>
        <w:r w:rsidR="00D516E3">
          <w:rPr>
            <w:noProof/>
            <w:webHidden/>
          </w:rPr>
          <w:t>13</w:t>
        </w:r>
        <w:r w:rsidR="00D516E3">
          <w:rPr>
            <w:noProof/>
            <w:webHidden/>
          </w:rPr>
          <w:fldChar w:fldCharType="end"/>
        </w:r>
      </w:hyperlink>
    </w:p>
    <w:p w14:paraId="5A132AA0"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37" w:history="1">
        <w:r w:rsidR="00D516E3">
          <w:rPr>
            <w:rStyle w:val="a5"/>
          </w:rPr>
          <w:t>3.</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RADIOGRAPHIC PROJECTIONS CONSIDERED</w:t>
        </w:r>
        <w:r w:rsidR="00D516E3">
          <w:rPr>
            <w:webHidden/>
          </w:rPr>
          <w:tab/>
        </w:r>
        <w:r w:rsidR="00D516E3">
          <w:rPr>
            <w:webHidden/>
          </w:rPr>
          <w:fldChar w:fldCharType="begin"/>
        </w:r>
        <w:r w:rsidR="00D516E3">
          <w:rPr>
            <w:webHidden/>
          </w:rPr>
          <w:instrText xml:space="preserve"> PAGEREF _Toc165302037 \h </w:instrText>
        </w:r>
        <w:r w:rsidR="00D516E3">
          <w:rPr>
            <w:webHidden/>
          </w:rPr>
        </w:r>
        <w:r w:rsidR="00D516E3">
          <w:rPr>
            <w:webHidden/>
          </w:rPr>
          <w:fldChar w:fldCharType="separate"/>
        </w:r>
        <w:r w:rsidR="00D516E3">
          <w:rPr>
            <w:webHidden/>
          </w:rPr>
          <w:t>17</w:t>
        </w:r>
        <w:r w:rsidR="00D516E3">
          <w:rPr>
            <w:webHidden/>
          </w:rPr>
          <w:fldChar w:fldCharType="end"/>
        </w:r>
      </w:hyperlink>
    </w:p>
    <w:p w14:paraId="2C57215B"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38" w:history="1">
        <w:r w:rsidR="00D516E3">
          <w:rPr>
            <w:rStyle w:val="a5"/>
            <w:noProof/>
          </w:rPr>
          <w:t>3.1.</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Projection selection, adult radiography</w:t>
        </w:r>
        <w:r w:rsidR="00D516E3">
          <w:rPr>
            <w:noProof/>
            <w:webHidden/>
          </w:rPr>
          <w:tab/>
        </w:r>
        <w:r w:rsidR="00D516E3">
          <w:rPr>
            <w:noProof/>
            <w:webHidden/>
          </w:rPr>
          <w:fldChar w:fldCharType="begin"/>
        </w:r>
        <w:r w:rsidR="00D516E3">
          <w:rPr>
            <w:noProof/>
            <w:webHidden/>
          </w:rPr>
          <w:instrText xml:space="preserve"> PAGEREF _Toc165302038 \h </w:instrText>
        </w:r>
        <w:r w:rsidR="00D516E3">
          <w:rPr>
            <w:noProof/>
            <w:webHidden/>
          </w:rPr>
        </w:r>
        <w:r w:rsidR="00D516E3">
          <w:rPr>
            <w:noProof/>
            <w:webHidden/>
          </w:rPr>
          <w:fldChar w:fldCharType="separate"/>
        </w:r>
        <w:r w:rsidR="00D516E3">
          <w:rPr>
            <w:noProof/>
            <w:webHidden/>
          </w:rPr>
          <w:t>17</w:t>
        </w:r>
        <w:r w:rsidR="00D516E3">
          <w:rPr>
            <w:noProof/>
            <w:webHidden/>
          </w:rPr>
          <w:fldChar w:fldCharType="end"/>
        </w:r>
      </w:hyperlink>
    </w:p>
    <w:p w14:paraId="25A762BF"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39" w:history="1">
        <w:r w:rsidR="00D516E3">
          <w:rPr>
            <w:rStyle w:val="a5"/>
            <w:noProof/>
          </w:rPr>
          <w:t>3.2.</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Projection selection, paediatric radiography</w:t>
        </w:r>
        <w:r w:rsidR="00D516E3">
          <w:rPr>
            <w:noProof/>
            <w:webHidden/>
          </w:rPr>
          <w:tab/>
        </w:r>
        <w:r w:rsidR="00D516E3">
          <w:rPr>
            <w:noProof/>
            <w:webHidden/>
          </w:rPr>
          <w:fldChar w:fldCharType="begin"/>
        </w:r>
        <w:r w:rsidR="00D516E3">
          <w:rPr>
            <w:noProof/>
            <w:webHidden/>
          </w:rPr>
          <w:instrText xml:space="preserve"> PAGEREF _Toc165302039 \h </w:instrText>
        </w:r>
        <w:r w:rsidR="00D516E3">
          <w:rPr>
            <w:noProof/>
            <w:webHidden/>
          </w:rPr>
        </w:r>
        <w:r w:rsidR="00D516E3">
          <w:rPr>
            <w:noProof/>
            <w:webHidden/>
          </w:rPr>
          <w:fldChar w:fldCharType="separate"/>
        </w:r>
        <w:r w:rsidR="00D516E3">
          <w:rPr>
            <w:noProof/>
            <w:webHidden/>
          </w:rPr>
          <w:t>17</w:t>
        </w:r>
        <w:r w:rsidR="00D516E3">
          <w:rPr>
            <w:noProof/>
            <w:webHidden/>
          </w:rPr>
          <w:fldChar w:fldCharType="end"/>
        </w:r>
      </w:hyperlink>
    </w:p>
    <w:p w14:paraId="21840631"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40" w:history="1">
        <w:r w:rsidR="00D516E3">
          <w:rPr>
            <w:rStyle w:val="a5"/>
            <w:noProof/>
          </w:rPr>
          <w:t>3.3.</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Projection definition, adult and paediatric radiography</w:t>
        </w:r>
        <w:r w:rsidR="00D516E3">
          <w:rPr>
            <w:noProof/>
            <w:webHidden/>
          </w:rPr>
          <w:tab/>
        </w:r>
        <w:r w:rsidR="00D516E3">
          <w:rPr>
            <w:noProof/>
            <w:webHidden/>
          </w:rPr>
          <w:fldChar w:fldCharType="begin"/>
        </w:r>
        <w:r w:rsidR="00D516E3">
          <w:rPr>
            <w:noProof/>
            <w:webHidden/>
          </w:rPr>
          <w:instrText xml:space="preserve"> PAGEREF _Toc165302040 \h </w:instrText>
        </w:r>
        <w:r w:rsidR="00D516E3">
          <w:rPr>
            <w:noProof/>
            <w:webHidden/>
          </w:rPr>
        </w:r>
        <w:r w:rsidR="00D516E3">
          <w:rPr>
            <w:noProof/>
            <w:webHidden/>
          </w:rPr>
          <w:fldChar w:fldCharType="separate"/>
        </w:r>
        <w:r w:rsidR="00D516E3">
          <w:rPr>
            <w:noProof/>
            <w:webHidden/>
          </w:rPr>
          <w:t>18</w:t>
        </w:r>
        <w:r w:rsidR="00D516E3">
          <w:rPr>
            <w:noProof/>
            <w:webHidden/>
          </w:rPr>
          <w:fldChar w:fldCharType="end"/>
        </w:r>
      </w:hyperlink>
    </w:p>
    <w:p w14:paraId="60EE403E"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41" w:history="1">
        <w:r w:rsidR="00D516E3">
          <w:rPr>
            <w:rStyle w:val="a5"/>
          </w:rPr>
          <w:t>4.</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DETERMINATION OF DOSE COEFFICIENTS FOR MONOENERGETIC photons</w:t>
        </w:r>
        <w:r w:rsidR="00D516E3">
          <w:rPr>
            <w:webHidden/>
          </w:rPr>
          <w:tab/>
        </w:r>
        <w:r w:rsidR="00D516E3">
          <w:rPr>
            <w:webHidden/>
          </w:rPr>
          <w:fldChar w:fldCharType="begin"/>
        </w:r>
        <w:r w:rsidR="00D516E3">
          <w:rPr>
            <w:webHidden/>
          </w:rPr>
          <w:instrText xml:space="preserve"> PAGEREF _Toc165302041 \h </w:instrText>
        </w:r>
        <w:r w:rsidR="00D516E3">
          <w:rPr>
            <w:webHidden/>
          </w:rPr>
        </w:r>
        <w:r w:rsidR="00D516E3">
          <w:rPr>
            <w:webHidden/>
          </w:rPr>
          <w:fldChar w:fldCharType="separate"/>
        </w:r>
        <w:r w:rsidR="00D516E3">
          <w:rPr>
            <w:webHidden/>
          </w:rPr>
          <w:t>21</w:t>
        </w:r>
        <w:r w:rsidR="00D516E3">
          <w:rPr>
            <w:webHidden/>
          </w:rPr>
          <w:fldChar w:fldCharType="end"/>
        </w:r>
      </w:hyperlink>
    </w:p>
    <w:p w14:paraId="2F237E70"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42" w:history="1">
        <w:r w:rsidR="00D516E3">
          <w:rPr>
            <w:rStyle w:val="a5"/>
            <w:noProof/>
          </w:rPr>
          <w:t>4.1.</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Monte Carlo photon transport calculation in the anthropomorphic phantoms for monoenergetic values</w:t>
        </w:r>
        <w:r w:rsidR="00D516E3">
          <w:rPr>
            <w:noProof/>
            <w:webHidden/>
          </w:rPr>
          <w:tab/>
        </w:r>
        <w:r w:rsidR="00D516E3">
          <w:rPr>
            <w:noProof/>
            <w:webHidden/>
          </w:rPr>
          <w:fldChar w:fldCharType="begin"/>
        </w:r>
        <w:r w:rsidR="00D516E3">
          <w:rPr>
            <w:noProof/>
            <w:webHidden/>
          </w:rPr>
          <w:instrText xml:space="preserve"> PAGEREF _Toc165302042 \h </w:instrText>
        </w:r>
        <w:r w:rsidR="00D516E3">
          <w:rPr>
            <w:noProof/>
            <w:webHidden/>
          </w:rPr>
        </w:r>
        <w:r w:rsidR="00D516E3">
          <w:rPr>
            <w:noProof/>
            <w:webHidden/>
          </w:rPr>
          <w:fldChar w:fldCharType="separate"/>
        </w:r>
        <w:r w:rsidR="00D516E3">
          <w:rPr>
            <w:noProof/>
            <w:webHidden/>
          </w:rPr>
          <w:t>21</w:t>
        </w:r>
        <w:r w:rsidR="00D516E3">
          <w:rPr>
            <w:noProof/>
            <w:webHidden/>
          </w:rPr>
          <w:fldChar w:fldCharType="end"/>
        </w:r>
      </w:hyperlink>
    </w:p>
    <w:p w14:paraId="7FB66873"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43" w:history="1">
        <w:r w:rsidR="00D516E3">
          <w:rPr>
            <w:rStyle w:val="a5"/>
            <w:noProof/>
          </w:rPr>
          <w:t>4.2.</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Dose coefficients for monoenergetic photons at 1 keV intervals– Description of tables</w:t>
        </w:r>
        <w:r w:rsidR="00D516E3">
          <w:rPr>
            <w:noProof/>
            <w:webHidden/>
          </w:rPr>
          <w:tab/>
        </w:r>
        <w:r w:rsidR="00D516E3">
          <w:rPr>
            <w:noProof/>
            <w:webHidden/>
          </w:rPr>
          <w:fldChar w:fldCharType="begin"/>
        </w:r>
        <w:r w:rsidR="00D516E3">
          <w:rPr>
            <w:noProof/>
            <w:webHidden/>
          </w:rPr>
          <w:instrText xml:space="preserve"> PAGEREF _Toc165302043 \h </w:instrText>
        </w:r>
        <w:r w:rsidR="00D516E3">
          <w:rPr>
            <w:noProof/>
            <w:webHidden/>
          </w:rPr>
        </w:r>
        <w:r w:rsidR="00D516E3">
          <w:rPr>
            <w:noProof/>
            <w:webHidden/>
          </w:rPr>
          <w:fldChar w:fldCharType="separate"/>
        </w:r>
        <w:r w:rsidR="00D516E3">
          <w:rPr>
            <w:noProof/>
            <w:webHidden/>
          </w:rPr>
          <w:t>29</w:t>
        </w:r>
        <w:r w:rsidR="00D516E3">
          <w:rPr>
            <w:noProof/>
            <w:webHidden/>
          </w:rPr>
          <w:fldChar w:fldCharType="end"/>
        </w:r>
      </w:hyperlink>
    </w:p>
    <w:p w14:paraId="13D1F4D9"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44" w:history="1">
        <w:r w:rsidR="00D516E3">
          <w:rPr>
            <w:rStyle w:val="a5"/>
          </w:rPr>
          <w:t>5.</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DOSE COEFFICIENTS FOR EXAMPLE X-RAY SPECTRA</w:t>
        </w:r>
        <w:r w:rsidR="00D516E3">
          <w:rPr>
            <w:webHidden/>
          </w:rPr>
          <w:tab/>
        </w:r>
        <w:r w:rsidR="00D516E3">
          <w:rPr>
            <w:webHidden/>
          </w:rPr>
          <w:fldChar w:fldCharType="begin"/>
        </w:r>
        <w:r w:rsidR="00D516E3">
          <w:rPr>
            <w:webHidden/>
          </w:rPr>
          <w:instrText xml:space="preserve"> PAGEREF _Toc165302044 \h </w:instrText>
        </w:r>
        <w:r w:rsidR="00D516E3">
          <w:rPr>
            <w:webHidden/>
          </w:rPr>
        </w:r>
        <w:r w:rsidR="00D516E3">
          <w:rPr>
            <w:webHidden/>
          </w:rPr>
          <w:fldChar w:fldCharType="separate"/>
        </w:r>
        <w:r w:rsidR="00D516E3">
          <w:rPr>
            <w:webHidden/>
          </w:rPr>
          <w:t>30</w:t>
        </w:r>
        <w:r w:rsidR="00D516E3">
          <w:rPr>
            <w:webHidden/>
          </w:rPr>
          <w:fldChar w:fldCharType="end"/>
        </w:r>
      </w:hyperlink>
    </w:p>
    <w:p w14:paraId="78AAE00D"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45" w:history="1">
        <w:r w:rsidR="00D516E3">
          <w:rPr>
            <w:rStyle w:val="a5"/>
          </w:rPr>
          <w:t>6.</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APPLICATION OF DOSE COEFFICIENTS</w:t>
        </w:r>
        <w:r w:rsidR="00D516E3">
          <w:rPr>
            <w:webHidden/>
          </w:rPr>
          <w:tab/>
        </w:r>
        <w:r w:rsidR="00D516E3">
          <w:rPr>
            <w:webHidden/>
          </w:rPr>
          <w:fldChar w:fldCharType="begin"/>
        </w:r>
        <w:r w:rsidR="00D516E3">
          <w:rPr>
            <w:webHidden/>
          </w:rPr>
          <w:instrText xml:space="preserve"> PAGEREF _Toc165302045 \h </w:instrText>
        </w:r>
        <w:r w:rsidR="00D516E3">
          <w:rPr>
            <w:webHidden/>
          </w:rPr>
        </w:r>
        <w:r w:rsidR="00D516E3">
          <w:rPr>
            <w:webHidden/>
          </w:rPr>
          <w:fldChar w:fldCharType="separate"/>
        </w:r>
        <w:r w:rsidR="00D516E3">
          <w:rPr>
            <w:webHidden/>
          </w:rPr>
          <w:t>33</w:t>
        </w:r>
        <w:r w:rsidR="00D516E3">
          <w:rPr>
            <w:webHidden/>
          </w:rPr>
          <w:fldChar w:fldCharType="end"/>
        </w:r>
      </w:hyperlink>
    </w:p>
    <w:p w14:paraId="4E624DE7"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46" w:history="1">
        <w:r w:rsidR="00D516E3">
          <w:rPr>
            <w:rStyle w:val="a5"/>
            <w:noProof/>
          </w:rPr>
          <w:t>6.1.</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Using the Bremsstrahlung spectral data to estimate organ and effective doses</w:t>
        </w:r>
        <w:r w:rsidR="00D516E3">
          <w:rPr>
            <w:noProof/>
            <w:webHidden/>
          </w:rPr>
          <w:tab/>
        </w:r>
        <w:r w:rsidR="00D516E3">
          <w:rPr>
            <w:noProof/>
            <w:webHidden/>
          </w:rPr>
          <w:fldChar w:fldCharType="begin"/>
        </w:r>
        <w:r w:rsidR="00D516E3">
          <w:rPr>
            <w:noProof/>
            <w:webHidden/>
          </w:rPr>
          <w:instrText xml:space="preserve"> PAGEREF _Toc165302046 \h </w:instrText>
        </w:r>
        <w:r w:rsidR="00D516E3">
          <w:rPr>
            <w:noProof/>
            <w:webHidden/>
          </w:rPr>
        </w:r>
        <w:r w:rsidR="00D516E3">
          <w:rPr>
            <w:noProof/>
            <w:webHidden/>
          </w:rPr>
          <w:fldChar w:fldCharType="separate"/>
        </w:r>
        <w:r w:rsidR="00D516E3">
          <w:rPr>
            <w:noProof/>
            <w:webHidden/>
          </w:rPr>
          <w:t>33</w:t>
        </w:r>
        <w:r w:rsidR="00D516E3">
          <w:rPr>
            <w:noProof/>
            <w:webHidden/>
          </w:rPr>
          <w:fldChar w:fldCharType="end"/>
        </w:r>
      </w:hyperlink>
    </w:p>
    <w:p w14:paraId="2C538870"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47" w:history="1">
        <w:r w:rsidR="00D516E3">
          <w:rPr>
            <w:rStyle w:val="a5"/>
            <w:noProof/>
          </w:rPr>
          <w:t>6.2.</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Using the convolution process for a user-defined spectrum</w:t>
        </w:r>
        <w:r w:rsidR="00D516E3">
          <w:rPr>
            <w:noProof/>
            <w:webHidden/>
          </w:rPr>
          <w:tab/>
        </w:r>
        <w:r w:rsidR="00D516E3">
          <w:rPr>
            <w:noProof/>
            <w:webHidden/>
          </w:rPr>
          <w:fldChar w:fldCharType="begin"/>
        </w:r>
        <w:r w:rsidR="00D516E3">
          <w:rPr>
            <w:noProof/>
            <w:webHidden/>
          </w:rPr>
          <w:instrText xml:space="preserve"> PAGEREF _Toc165302047 \h </w:instrText>
        </w:r>
        <w:r w:rsidR="00D516E3">
          <w:rPr>
            <w:noProof/>
            <w:webHidden/>
          </w:rPr>
        </w:r>
        <w:r w:rsidR="00D516E3">
          <w:rPr>
            <w:noProof/>
            <w:webHidden/>
          </w:rPr>
          <w:fldChar w:fldCharType="separate"/>
        </w:r>
        <w:r w:rsidR="00D516E3">
          <w:rPr>
            <w:noProof/>
            <w:webHidden/>
          </w:rPr>
          <w:t>34</w:t>
        </w:r>
        <w:r w:rsidR="00D516E3">
          <w:rPr>
            <w:noProof/>
            <w:webHidden/>
          </w:rPr>
          <w:fldChar w:fldCharType="end"/>
        </w:r>
      </w:hyperlink>
    </w:p>
    <w:p w14:paraId="1BA5EB49"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48" w:history="1">
        <w:r w:rsidR="00D516E3">
          <w:rPr>
            <w:rStyle w:val="a5"/>
            <w:noProof/>
          </w:rPr>
          <w:t>6.3.</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Possible application of the dose coefficients</w:t>
        </w:r>
        <w:r w:rsidR="00D516E3">
          <w:rPr>
            <w:noProof/>
            <w:webHidden/>
          </w:rPr>
          <w:tab/>
        </w:r>
        <w:r w:rsidR="00D516E3">
          <w:rPr>
            <w:noProof/>
            <w:webHidden/>
          </w:rPr>
          <w:fldChar w:fldCharType="begin"/>
        </w:r>
        <w:r w:rsidR="00D516E3">
          <w:rPr>
            <w:noProof/>
            <w:webHidden/>
          </w:rPr>
          <w:instrText xml:space="preserve"> PAGEREF _Toc165302048 \h </w:instrText>
        </w:r>
        <w:r w:rsidR="00D516E3">
          <w:rPr>
            <w:noProof/>
            <w:webHidden/>
          </w:rPr>
        </w:r>
        <w:r w:rsidR="00D516E3">
          <w:rPr>
            <w:noProof/>
            <w:webHidden/>
          </w:rPr>
          <w:fldChar w:fldCharType="separate"/>
        </w:r>
        <w:r w:rsidR="00D516E3">
          <w:rPr>
            <w:noProof/>
            <w:webHidden/>
          </w:rPr>
          <w:t>37</w:t>
        </w:r>
        <w:r w:rsidR="00D516E3">
          <w:rPr>
            <w:noProof/>
            <w:webHidden/>
          </w:rPr>
          <w:fldChar w:fldCharType="end"/>
        </w:r>
      </w:hyperlink>
    </w:p>
    <w:p w14:paraId="474004A5"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49" w:history="1">
        <w:r w:rsidR="00D516E3">
          <w:rPr>
            <w:rStyle w:val="a5"/>
          </w:rPr>
          <w:t>7.</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UNCERTAINTIES AND LIMITATIONS</w:t>
        </w:r>
        <w:r w:rsidR="00D516E3">
          <w:rPr>
            <w:webHidden/>
          </w:rPr>
          <w:tab/>
        </w:r>
        <w:r w:rsidR="00D516E3">
          <w:rPr>
            <w:webHidden/>
          </w:rPr>
          <w:fldChar w:fldCharType="begin"/>
        </w:r>
        <w:r w:rsidR="00D516E3">
          <w:rPr>
            <w:webHidden/>
          </w:rPr>
          <w:instrText xml:space="preserve"> PAGEREF _Toc165302049 \h </w:instrText>
        </w:r>
        <w:r w:rsidR="00D516E3">
          <w:rPr>
            <w:webHidden/>
          </w:rPr>
        </w:r>
        <w:r w:rsidR="00D516E3">
          <w:rPr>
            <w:webHidden/>
          </w:rPr>
          <w:fldChar w:fldCharType="separate"/>
        </w:r>
        <w:r w:rsidR="00D516E3">
          <w:rPr>
            <w:webHidden/>
          </w:rPr>
          <w:t>40</w:t>
        </w:r>
        <w:r w:rsidR="00D516E3">
          <w:rPr>
            <w:webHidden/>
          </w:rPr>
          <w:fldChar w:fldCharType="end"/>
        </w:r>
      </w:hyperlink>
    </w:p>
    <w:p w14:paraId="7DFEFF76"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50" w:history="1">
        <w:r w:rsidR="00D516E3">
          <w:rPr>
            <w:rStyle w:val="a5"/>
            <w:noProof/>
          </w:rPr>
          <w:t>7.1.</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Influence of phantoms and field size</w:t>
        </w:r>
        <w:r w:rsidR="00D516E3">
          <w:rPr>
            <w:noProof/>
            <w:webHidden/>
          </w:rPr>
          <w:tab/>
        </w:r>
        <w:r w:rsidR="00D516E3">
          <w:rPr>
            <w:noProof/>
            <w:webHidden/>
          </w:rPr>
          <w:fldChar w:fldCharType="begin"/>
        </w:r>
        <w:r w:rsidR="00D516E3">
          <w:rPr>
            <w:noProof/>
            <w:webHidden/>
          </w:rPr>
          <w:instrText xml:space="preserve"> PAGEREF _Toc165302050 \h </w:instrText>
        </w:r>
        <w:r w:rsidR="00D516E3">
          <w:rPr>
            <w:noProof/>
            <w:webHidden/>
          </w:rPr>
        </w:r>
        <w:r w:rsidR="00D516E3">
          <w:rPr>
            <w:noProof/>
            <w:webHidden/>
          </w:rPr>
          <w:fldChar w:fldCharType="separate"/>
        </w:r>
        <w:r w:rsidR="00D516E3">
          <w:rPr>
            <w:noProof/>
            <w:webHidden/>
          </w:rPr>
          <w:t>40</w:t>
        </w:r>
        <w:r w:rsidR="00D516E3">
          <w:rPr>
            <w:noProof/>
            <w:webHidden/>
          </w:rPr>
          <w:fldChar w:fldCharType="end"/>
        </w:r>
      </w:hyperlink>
    </w:p>
    <w:p w14:paraId="3A9B43AF"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51" w:history="1">
        <w:r w:rsidR="00D516E3">
          <w:rPr>
            <w:rStyle w:val="a5"/>
            <w:noProof/>
          </w:rPr>
          <w:t>7.2.</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Uncertainties of dose coefficients calculated with Monte Carlo methods</w:t>
        </w:r>
        <w:r w:rsidR="00D516E3">
          <w:rPr>
            <w:noProof/>
            <w:webHidden/>
          </w:rPr>
          <w:tab/>
        </w:r>
        <w:r w:rsidR="00D516E3">
          <w:rPr>
            <w:noProof/>
            <w:webHidden/>
          </w:rPr>
          <w:fldChar w:fldCharType="begin"/>
        </w:r>
        <w:r w:rsidR="00D516E3">
          <w:rPr>
            <w:noProof/>
            <w:webHidden/>
          </w:rPr>
          <w:instrText xml:space="preserve"> PAGEREF _Toc165302051 \h </w:instrText>
        </w:r>
        <w:r w:rsidR="00D516E3">
          <w:rPr>
            <w:noProof/>
            <w:webHidden/>
          </w:rPr>
        </w:r>
        <w:r w:rsidR="00D516E3">
          <w:rPr>
            <w:noProof/>
            <w:webHidden/>
          </w:rPr>
          <w:fldChar w:fldCharType="separate"/>
        </w:r>
        <w:r w:rsidR="00D516E3">
          <w:rPr>
            <w:noProof/>
            <w:webHidden/>
          </w:rPr>
          <w:t>41</w:t>
        </w:r>
        <w:r w:rsidR="00D516E3">
          <w:rPr>
            <w:noProof/>
            <w:webHidden/>
          </w:rPr>
          <w:fldChar w:fldCharType="end"/>
        </w:r>
      </w:hyperlink>
    </w:p>
    <w:p w14:paraId="7180671D"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52" w:history="1">
        <w:r w:rsidR="00D516E3">
          <w:rPr>
            <w:rStyle w:val="a5"/>
            <w:noProof/>
          </w:rPr>
          <w:t>7.3.</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Uncertainties in dose estimates</w:t>
        </w:r>
        <w:r w:rsidR="00D516E3">
          <w:rPr>
            <w:noProof/>
            <w:webHidden/>
          </w:rPr>
          <w:tab/>
        </w:r>
        <w:r w:rsidR="00D516E3">
          <w:rPr>
            <w:noProof/>
            <w:webHidden/>
          </w:rPr>
          <w:fldChar w:fldCharType="begin"/>
        </w:r>
        <w:r w:rsidR="00D516E3">
          <w:rPr>
            <w:noProof/>
            <w:webHidden/>
          </w:rPr>
          <w:instrText xml:space="preserve"> PAGEREF _Toc165302052 \h </w:instrText>
        </w:r>
        <w:r w:rsidR="00D516E3">
          <w:rPr>
            <w:noProof/>
            <w:webHidden/>
          </w:rPr>
        </w:r>
        <w:r w:rsidR="00D516E3">
          <w:rPr>
            <w:noProof/>
            <w:webHidden/>
          </w:rPr>
          <w:fldChar w:fldCharType="separate"/>
        </w:r>
        <w:r w:rsidR="00D516E3">
          <w:rPr>
            <w:noProof/>
            <w:webHidden/>
          </w:rPr>
          <w:t>41</w:t>
        </w:r>
        <w:r w:rsidR="00D516E3">
          <w:rPr>
            <w:noProof/>
            <w:webHidden/>
          </w:rPr>
          <w:fldChar w:fldCharType="end"/>
        </w:r>
      </w:hyperlink>
    </w:p>
    <w:p w14:paraId="6600BBDE"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53" w:history="1">
        <w:r w:rsidR="00D516E3">
          <w:rPr>
            <w:rStyle w:val="a5"/>
            <w:noProof/>
          </w:rPr>
          <w:t>7.4.</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Limitations in interpretation</w:t>
        </w:r>
        <w:r w:rsidR="00D516E3">
          <w:rPr>
            <w:noProof/>
            <w:webHidden/>
          </w:rPr>
          <w:tab/>
        </w:r>
        <w:r w:rsidR="00D516E3">
          <w:rPr>
            <w:noProof/>
            <w:webHidden/>
          </w:rPr>
          <w:fldChar w:fldCharType="begin"/>
        </w:r>
        <w:r w:rsidR="00D516E3">
          <w:rPr>
            <w:noProof/>
            <w:webHidden/>
          </w:rPr>
          <w:instrText xml:space="preserve"> PAGEREF _Toc165302053 \h </w:instrText>
        </w:r>
        <w:r w:rsidR="00D516E3">
          <w:rPr>
            <w:noProof/>
            <w:webHidden/>
          </w:rPr>
        </w:r>
        <w:r w:rsidR="00D516E3">
          <w:rPr>
            <w:noProof/>
            <w:webHidden/>
          </w:rPr>
          <w:fldChar w:fldCharType="separate"/>
        </w:r>
        <w:r w:rsidR="00D516E3">
          <w:rPr>
            <w:noProof/>
            <w:webHidden/>
          </w:rPr>
          <w:t>42</w:t>
        </w:r>
        <w:r w:rsidR="00D516E3">
          <w:rPr>
            <w:noProof/>
            <w:webHidden/>
          </w:rPr>
          <w:fldChar w:fldCharType="end"/>
        </w:r>
      </w:hyperlink>
    </w:p>
    <w:p w14:paraId="45342910"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54" w:history="1">
        <w:r w:rsidR="00D516E3">
          <w:rPr>
            <w:rStyle w:val="a5"/>
          </w:rPr>
          <w:t>8.</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Conclusions</w:t>
        </w:r>
        <w:r w:rsidR="00D516E3">
          <w:rPr>
            <w:webHidden/>
          </w:rPr>
          <w:tab/>
        </w:r>
        <w:r w:rsidR="00D516E3">
          <w:rPr>
            <w:webHidden/>
          </w:rPr>
          <w:fldChar w:fldCharType="begin"/>
        </w:r>
        <w:r w:rsidR="00D516E3">
          <w:rPr>
            <w:webHidden/>
          </w:rPr>
          <w:instrText xml:space="preserve"> PAGEREF _Toc165302054 \h </w:instrText>
        </w:r>
        <w:r w:rsidR="00D516E3">
          <w:rPr>
            <w:webHidden/>
          </w:rPr>
        </w:r>
        <w:r w:rsidR="00D516E3">
          <w:rPr>
            <w:webHidden/>
          </w:rPr>
          <w:fldChar w:fldCharType="separate"/>
        </w:r>
        <w:r w:rsidR="00D516E3">
          <w:rPr>
            <w:webHidden/>
          </w:rPr>
          <w:t>44</w:t>
        </w:r>
        <w:r w:rsidR="00D516E3">
          <w:rPr>
            <w:webHidden/>
          </w:rPr>
          <w:fldChar w:fldCharType="end"/>
        </w:r>
      </w:hyperlink>
    </w:p>
    <w:p w14:paraId="7D18167D"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55" w:history="1">
        <w:r w:rsidR="00D516E3">
          <w:rPr>
            <w:rStyle w:val="a5"/>
          </w:rPr>
          <w:t>References</w:t>
        </w:r>
        <w:r w:rsidR="00D516E3">
          <w:rPr>
            <w:webHidden/>
          </w:rPr>
          <w:tab/>
        </w:r>
        <w:r w:rsidR="00D516E3">
          <w:rPr>
            <w:webHidden/>
          </w:rPr>
          <w:fldChar w:fldCharType="begin"/>
        </w:r>
        <w:r w:rsidR="00D516E3">
          <w:rPr>
            <w:webHidden/>
          </w:rPr>
          <w:instrText xml:space="preserve"> PAGEREF _Toc165302055 \h </w:instrText>
        </w:r>
        <w:r w:rsidR="00D516E3">
          <w:rPr>
            <w:webHidden/>
          </w:rPr>
        </w:r>
        <w:r w:rsidR="00D516E3">
          <w:rPr>
            <w:webHidden/>
          </w:rPr>
          <w:fldChar w:fldCharType="separate"/>
        </w:r>
        <w:r w:rsidR="00D516E3">
          <w:rPr>
            <w:webHidden/>
          </w:rPr>
          <w:t>46</w:t>
        </w:r>
        <w:r w:rsidR="00D516E3">
          <w:rPr>
            <w:webHidden/>
          </w:rPr>
          <w:fldChar w:fldCharType="end"/>
        </w:r>
      </w:hyperlink>
    </w:p>
    <w:p w14:paraId="2023A4C9"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56" w:history="1">
        <w:r w:rsidR="00D516E3">
          <w:rPr>
            <w:rStyle w:val="a5"/>
          </w:rPr>
          <w:t>ANNEX A.</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Dosimetric quantities used in patient dosimetry in radiography</w:t>
        </w:r>
        <w:r w:rsidR="00D516E3">
          <w:rPr>
            <w:webHidden/>
          </w:rPr>
          <w:tab/>
        </w:r>
        <w:r w:rsidR="00D516E3">
          <w:rPr>
            <w:webHidden/>
          </w:rPr>
          <w:fldChar w:fldCharType="begin"/>
        </w:r>
        <w:r w:rsidR="00D516E3">
          <w:rPr>
            <w:webHidden/>
          </w:rPr>
          <w:instrText xml:space="preserve"> PAGEREF _Toc165302056 \h </w:instrText>
        </w:r>
        <w:r w:rsidR="00D516E3">
          <w:rPr>
            <w:webHidden/>
          </w:rPr>
        </w:r>
        <w:r w:rsidR="00D516E3">
          <w:rPr>
            <w:webHidden/>
          </w:rPr>
          <w:fldChar w:fldCharType="separate"/>
        </w:r>
        <w:r w:rsidR="00D516E3">
          <w:rPr>
            <w:webHidden/>
          </w:rPr>
          <w:t>51</w:t>
        </w:r>
        <w:r w:rsidR="00D516E3">
          <w:rPr>
            <w:webHidden/>
          </w:rPr>
          <w:fldChar w:fldCharType="end"/>
        </w:r>
      </w:hyperlink>
    </w:p>
    <w:p w14:paraId="127571BD"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57" w:history="1">
        <w:r w:rsidR="00D516E3">
          <w:rPr>
            <w:rStyle w:val="a5"/>
            <w:noProof/>
          </w:rPr>
          <w:t>A.1.</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Organ absorbed dose and equivalent dose.</w:t>
        </w:r>
        <w:r w:rsidR="00D516E3">
          <w:rPr>
            <w:noProof/>
            <w:webHidden/>
          </w:rPr>
          <w:tab/>
        </w:r>
        <w:r w:rsidR="00D516E3">
          <w:rPr>
            <w:noProof/>
            <w:webHidden/>
          </w:rPr>
          <w:fldChar w:fldCharType="begin"/>
        </w:r>
        <w:r w:rsidR="00D516E3">
          <w:rPr>
            <w:noProof/>
            <w:webHidden/>
          </w:rPr>
          <w:instrText xml:space="preserve"> PAGEREF _Toc165302057 \h </w:instrText>
        </w:r>
        <w:r w:rsidR="00D516E3">
          <w:rPr>
            <w:noProof/>
            <w:webHidden/>
          </w:rPr>
        </w:r>
        <w:r w:rsidR="00D516E3">
          <w:rPr>
            <w:noProof/>
            <w:webHidden/>
          </w:rPr>
          <w:fldChar w:fldCharType="separate"/>
        </w:r>
        <w:r w:rsidR="00D516E3">
          <w:rPr>
            <w:noProof/>
            <w:webHidden/>
          </w:rPr>
          <w:t>51</w:t>
        </w:r>
        <w:r w:rsidR="00D516E3">
          <w:rPr>
            <w:noProof/>
            <w:webHidden/>
          </w:rPr>
          <w:fldChar w:fldCharType="end"/>
        </w:r>
      </w:hyperlink>
    </w:p>
    <w:p w14:paraId="3E991469"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58" w:history="1">
        <w:r w:rsidR="00D516E3">
          <w:rPr>
            <w:rStyle w:val="a5"/>
            <w:noProof/>
          </w:rPr>
          <w:t>A.2.</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Effective dose</w:t>
        </w:r>
        <w:r w:rsidR="00D516E3">
          <w:rPr>
            <w:noProof/>
            <w:webHidden/>
          </w:rPr>
          <w:tab/>
        </w:r>
        <w:r w:rsidR="00D516E3">
          <w:rPr>
            <w:noProof/>
            <w:webHidden/>
          </w:rPr>
          <w:fldChar w:fldCharType="begin"/>
        </w:r>
        <w:r w:rsidR="00D516E3">
          <w:rPr>
            <w:noProof/>
            <w:webHidden/>
          </w:rPr>
          <w:instrText xml:space="preserve"> PAGEREF _Toc165302058 \h </w:instrText>
        </w:r>
        <w:r w:rsidR="00D516E3">
          <w:rPr>
            <w:noProof/>
            <w:webHidden/>
          </w:rPr>
        </w:r>
        <w:r w:rsidR="00D516E3">
          <w:rPr>
            <w:noProof/>
            <w:webHidden/>
          </w:rPr>
          <w:fldChar w:fldCharType="separate"/>
        </w:r>
        <w:r w:rsidR="00D516E3">
          <w:rPr>
            <w:noProof/>
            <w:webHidden/>
          </w:rPr>
          <w:t>52</w:t>
        </w:r>
        <w:r w:rsidR="00D516E3">
          <w:rPr>
            <w:noProof/>
            <w:webHidden/>
          </w:rPr>
          <w:fldChar w:fldCharType="end"/>
        </w:r>
      </w:hyperlink>
    </w:p>
    <w:p w14:paraId="11B0D531"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59" w:history="1">
        <w:r w:rsidR="00D516E3">
          <w:rPr>
            <w:rStyle w:val="a5"/>
            <w:noProof/>
          </w:rPr>
          <w:t>A.3.</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Air kerma and associated quantities</w:t>
        </w:r>
        <w:r w:rsidR="00D516E3">
          <w:rPr>
            <w:noProof/>
            <w:webHidden/>
          </w:rPr>
          <w:tab/>
        </w:r>
        <w:r w:rsidR="00D516E3">
          <w:rPr>
            <w:noProof/>
            <w:webHidden/>
          </w:rPr>
          <w:fldChar w:fldCharType="begin"/>
        </w:r>
        <w:r w:rsidR="00D516E3">
          <w:rPr>
            <w:noProof/>
            <w:webHidden/>
          </w:rPr>
          <w:instrText xml:space="preserve"> PAGEREF _Toc165302059 \h </w:instrText>
        </w:r>
        <w:r w:rsidR="00D516E3">
          <w:rPr>
            <w:noProof/>
            <w:webHidden/>
          </w:rPr>
        </w:r>
        <w:r w:rsidR="00D516E3">
          <w:rPr>
            <w:noProof/>
            <w:webHidden/>
          </w:rPr>
          <w:fldChar w:fldCharType="separate"/>
        </w:r>
        <w:r w:rsidR="00D516E3">
          <w:rPr>
            <w:noProof/>
            <w:webHidden/>
          </w:rPr>
          <w:t>53</w:t>
        </w:r>
        <w:r w:rsidR="00D516E3">
          <w:rPr>
            <w:noProof/>
            <w:webHidden/>
          </w:rPr>
          <w:fldChar w:fldCharType="end"/>
        </w:r>
      </w:hyperlink>
    </w:p>
    <w:p w14:paraId="47EF727F"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60" w:history="1">
        <w:r w:rsidR="00D516E3">
          <w:rPr>
            <w:rStyle w:val="a5"/>
            <w:noProof/>
          </w:rPr>
          <w:t>A.4.</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References</w:t>
        </w:r>
        <w:r w:rsidR="00D516E3">
          <w:rPr>
            <w:noProof/>
            <w:webHidden/>
          </w:rPr>
          <w:tab/>
        </w:r>
        <w:r w:rsidR="00D516E3">
          <w:rPr>
            <w:noProof/>
            <w:webHidden/>
          </w:rPr>
          <w:fldChar w:fldCharType="begin"/>
        </w:r>
        <w:r w:rsidR="00D516E3">
          <w:rPr>
            <w:noProof/>
            <w:webHidden/>
          </w:rPr>
          <w:instrText xml:space="preserve"> PAGEREF _Toc165302060 \h </w:instrText>
        </w:r>
        <w:r w:rsidR="00D516E3">
          <w:rPr>
            <w:noProof/>
            <w:webHidden/>
          </w:rPr>
        </w:r>
        <w:r w:rsidR="00D516E3">
          <w:rPr>
            <w:noProof/>
            <w:webHidden/>
          </w:rPr>
          <w:fldChar w:fldCharType="separate"/>
        </w:r>
        <w:r w:rsidR="00D516E3">
          <w:rPr>
            <w:noProof/>
            <w:webHidden/>
          </w:rPr>
          <w:t>54</w:t>
        </w:r>
        <w:r w:rsidR="00D516E3">
          <w:rPr>
            <w:noProof/>
            <w:webHidden/>
          </w:rPr>
          <w:fldChar w:fldCharType="end"/>
        </w:r>
      </w:hyperlink>
    </w:p>
    <w:p w14:paraId="480846BB"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61" w:history="1">
        <w:r w:rsidR="00D516E3">
          <w:rPr>
            <w:rStyle w:val="a5"/>
          </w:rPr>
          <w:t>ANNEX B.</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definitions of fields for the Projections considered</w:t>
        </w:r>
        <w:r w:rsidR="00D516E3">
          <w:rPr>
            <w:webHidden/>
          </w:rPr>
          <w:tab/>
        </w:r>
        <w:r w:rsidR="00D516E3">
          <w:rPr>
            <w:webHidden/>
          </w:rPr>
          <w:fldChar w:fldCharType="begin"/>
        </w:r>
        <w:r w:rsidR="00D516E3">
          <w:rPr>
            <w:webHidden/>
          </w:rPr>
          <w:instrText xml:space="preserve"> PAGEREF _Toc165302061 \h </w:instrText>
        </w:r>
        <w:r w:rsidR="00D516E3">
          <w:rPr>
            <w:webHidden/>
          </w:rPr>
        </w:r>
        <w:r w:rsidR="00D516E3">
          <w:rPr>
            <w:webHidden/>
          </w:rPr>
          <w:fldChar w:fldCharType="separate"/>
        </w:r>
        <w:r w:rsidR="00D516E3">
          <w:rPr>
            <w:webHidden/>
          </w:rPr>
          <w:t>55</w:t>
        </w:r>
        <w:r w:rsidR="00D516E3">
          <w:rPr>
            <w:webHidden/>
          </w:rPr>
          <w:fldChar w:fldCharType="end"/>
        </w:r>
      </w:hyperlink>
    </w:p>
    <w:p w14:paraId="008E508D"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62" w:history="1">
        <w:r w:rsidR="00D516E3">
          <w:rPr>
            <w:rStyle w:val="a5"/>
            <w:noProof/>
          </w:rPr>
          <w:t>B.1.</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Adult radiography</w:t>
        </w:r>
        <w:r w:rsidR="00D516E3">
          <w:rPr>
            <w:noProof/>
            <w:webHidden/>
          </w:rPr>
          <w:tab/>
        </w:r>
        <w:r w:rsidR="00D516E3">
          <w:rPr>
            <w:noProof/>
            <w:webHidden/>
          </w:rPr>
          <w:fldChar w:fldCharType="begin"/>
        </w:r>
        <w:r w:rsidR="00D516E3">
          <w:rPr>
            <w:noProof/>
            <w:webHidden/>
          </w:rPr>
          <w:instrText xml:space="preserve"> PAGEREF _Toc165302062 \h </w:instrText>
        </w:r>
        <w:r w:rsidR="00D516E3">
          <w:rPr>
            <w:noProof/>
            <w:webHidden/>
          </w:rPr>
        </w:r>
        <w:r w:rsidR="00D516E3">
          <w:rPr>
            <w:noProof/>
            <w:webHidden/>
          </w:rPr>
          <w:fldChar w:fldCharType="separate"/>
        </w:r>
        <w:r w:rsidR="00D516E3">
          <w:rPr>
            <w:noProof/>
            <w:webHidden/>
          </w:rPr>
          <w:t>55</w:t>
        </w:r>
        <w:r w:rsidR="00D516E3">
          <w:rPr>
            <w:noProof/>
            <w:webHidden/>
          </w:rPr>
          <w:fldChar w:fldCharType="end"/>
        </w:r>
      </w:hyperlink>
    </w:p>
    <w:p w14:paraId="6EB4D1D0"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63" w:history="1">
        <w:r w:rsidR="00D516E3">
          <w:rPr>
            <w:rStyle w:val="a5"/>
            <w:noProof/>
          </w:rPr>
          <w:t>B.2.</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Paediatric radiography</w:t>
        </w:r>
        <w:r w:rsidR="00D516E3">
          <w:rPr>
            <w:noProof/>
            <w:webHidden/>
          </w:rPr>
          <w:tab/>
        </w:r>
        <w:r w:rsidR="00D516E3">
          <w:rPr>
            <w:noProof/>
            <w:webHidden/>
          </w:rPr>
          <w:fldChar w:fldCharType="begin"/>
        </w:r>
        <w:r w:rsidR="00D516E3">
          <w:rPr>
            <w:noProof/>
            <w:webHidden/>
          </w:rPr>
          <w:instrText xml:space="preserve"> PAGEREF _Toc165302063 \h </w:instrText>
        </w:r>
        <w:r w:rsidR="00D516E3">
          <w:rPr>
            <w:noProof/>
            <w:webHidden/>
          </w:rPr>
        </w:r>
        <w:r w:rsidR="00D516E3">
          <w:rPr>
            <w:noProof/>
            <w:webHidden/>
          </w:rPr>
          <w:fldChar w:fldCharType="separate"/>
        </w:r>
        <w:r w:rsidR="00D516E3">
          <w:rPr>
            <w:noProof/>
            <w:webHidden/>
          </w:rPr>
          <w:t>62</w:t>
        </w:r>
        <w:r w:rsidR="00D516E3">
          <w:rPr>
            <w:noProof/>
            <w:webHidden/>
          </w:rPr>
          <w:fldChar w:fldCharType="end"/>
        </w:r>
      </w:hyperlink>
    </w:p>
    <w:p w14:paraId="29E2194B"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64" w:history="1">
        <w:r w:rsidR="00D516E3">
          <w:rPr>
            <w:rStyle w:val="a5"/>
            <w:noProof/>
          </w:rPr>
          <w:t>B.3.</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lang w:eastAsia="ja-JP"/>
          </w:rPr>
          <w:t>Reference</w:t>
        </w:r>
        <w:r w:rsidR="00D516E3">
          <w:rPr>
            <w:noProof/>
            <w:webHidden/>
          </w:rPr>
          <w:tab/>
        </w:r>
        <w:r w:rsidR="00D516E3">
          <w:rPr>
            <w:noProof/>
            <w:webHidden/>
          </w:rPr>
          <w:fldChar w:fldCharType="begin"/>
        </w:r>
        <w:r w:rsidR="00D516E3">
          <w:rPr>
            <w:noProof/>
            <w:webHidden/>
          </w:rPr>
          <w:instrText xml:space="preserve"> PAGEREF _Toc165302064 \h </w:instrText>
        </w:r>
        <w:r w:rsidR="00D516E3">
          <w:rPr>
            <w:noProof/>
            <w:webHidden/>
          </w:rPr>
        </w:r>
        <w:r w:rsidR="00D516E3">
          <w:rPr>
            <w:noProof/>
            <w:webHidden/>
          </w:rPr>
          <w:fldChar w:fldCharType="separate"/>
        </w:r>
        <w:r w:rsidR="00D516E3">
          <w:rPr>
            <w:noProof/>
            <w:webHidden/>
          </w:rPr>
          <w:t>77</w:t>
        </w:r>
        <w:r w:rsidR="00D516E3">
          <w:rPr>
            <w:noProof/>
            <w:webHidden/>
          </w:rPr>
          <w:fldChar w:fldCharType="end"/>
        </w:r>
      </w:hyperlink>
    </w:p>
    <w:p w14:paraId="61F11382"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65" w:history="1">
        <w:r w:rsidR="00D516E3">
          <w:rPr>
            <w:rStyle w:val="a5"/>
          </w:rPr>
          <w:t>ANNEX C.</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Application of skeletal fluence-to-dose response functions for photons in Monte Carlo radiation transport codes</w:t>
        </w:r>
        <w:r w:rsidR="00D516E3">
          <w:rPr>
            <w:webHidden/>
          </w:rPr>
          <w:tab/>
        </w:r>
        <w:r w:rsidR="00D516E3">
          <w:rPr>
            <w:webHidden/>
          </w:rPr>
          <w:fldChar w:fldCharType="begin"/>
        </w:r>
        <w:r w:rsidR="00D516E3">
          <w:rPr>
            <w:webHidden/>
          </w:rPr>
          <w:instrText xml:space="preserve"> PAGEREF _Toc165302065 \h </w:instrText>
        </w:r>
        <w:r w:rsidR="00D516E3">
          <w:rPr>
            <w:webHidden/>
          </w:rPr>
        </w:r>
        <w:r w:rsidR="00D516E3">
          <w:rPr>
            <w:webHidden/>
          </w:rPr>
          <w:fldChar w:fldCharType="separate"/>
        </w:r>
        <w:r w:rsidR="00D516E3">
          <w:rPr>
            <w:webHidden/>
          </w:rPr>
          <w:t>78</w:t>
        </w:r>
        <w:r w:rsidR="00D516E3">
          <w:rPr>
            <w:webHidden/>
          </w:rPr>
          <w:fldChar w:fldCharType="end"/>
        </w:r>
      </w:hyperlink>
    </w:p>
    <w:p w14:paraId="78864414"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66" w:history="1">
        <w:r w:rsidR="00D516E3">
          <w:rPr>
            <w:rStyle w:val="a5"/>
            <w:noProof/>
          </w:rPr>
          <w:t>C.1.</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 xml:space="preserve">Skeletal dosimetry method of ICRP </w:t>
        </w:r>
        <w:r w:rsidR="00D516E3">
          <w:rPr>
            <w:rStyle w:val="a5"/>
            <w:i/>
            <w:noProof/>
          </w:rPr>
          <w:t>Publication</w:t>
        </w:r>
        <w:r w:rsidR="00D516E3">
          <w:rPr>
            <w:rStyle w:val="a5"/>
            <w:noProof/>
          </w:rPr>
          <w:t xml:space="preserve"> 116</w:t>
        </w:r>
        <w:r w:rsidR="00D516E3">
          <w:rPr>
            <w:noProof/>
            <w:webHidden/>
          </w:rPr>
          <w:tab/>
        </w:r>
        <w:r w:rsidR="00D516E3">
          <w:rPr>
            <w:noProof/>
            <w:webHidden/>
          </w:rPr>
          <w:fldChar w:fldCharType="begin"/>
        </w:r>
        <w:r w:rsidR="00D516E3">
          <w:rPr>
            <w:noProof/>
            <w:webHidden/>
          </w:rPr>
          <w:instrText xml:space="preserve"> PAGEREF _Toc165302066 \h </w:instrText>
        </w:r>
        <w:r w:rsidR="00D516E3">
          <w:rPr>
            <w:noProof/>
            <w:webHidden/>
          </w:rPr>
        </w:r>
        <w:r w:rsidR="00D516E3">
          <w:rPr>
            <w:noProof/>
            <w:webHidden/>
          </w:rPr>
          <w:fldChar w:fldCharType="separate"/>
        </w:r>
        <w:r w:rsidR="00D516E3">
          <w:rPr>
            <w:noProof/>
            <w:webHidden/>
          </w:rPr>
          <w:t>78</w:t>
        </w:r>
        <w:r w:rsidR="00D516E3">
          <w:rPr>
            <w:noProof/>
            <w:webHidden/>
          </w:rPr>
          <w:fldChar w:fldCharType="end"/>
        </w:r>
      </w:hyperlink>
    </w:p>
    <w:p w14:paraId="51EEBC02"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67" w:history="1">
        <w:r w:rsidR="00D516E3">
          <w:rPr>
            <w:rStyle w:val="a5"/>
            <w:noProof/>
          </w:rPr>
          <w:t>C.2.</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 xml:space="preserve">Refinements of the original </w:t>
        </w:r>
        <w:r w:rsidR="00D516E3">
          <w:rPr>
            <w:rStyle w:val="a5"/>
            <w:iCs/>
            <w:noProof/>
          </w:rPr>
          <w:t>fluence-to-dose response function</w:t>
        </w:r>
        <w:r w:rsidR="00D516E3">
          <w:rPr>
            <w:rStyle w:val="a5"/>
            <w:noProof/>
          </w:rPr>
          <w:t xml:space="preserve"> sets for both adult and paediatric reference phantoms</w:t>
        </w:r>
        <w:r w:rsidR="00D516E3">
          <w:rPr>
            <w:noProof/>
            <w:webHidden/>
          </w:rPr>
          <w:tab/>
        </w:r>
        <w:r w:rsidR="00D516E3">
          <w:rPr>
            <w:noProof/>
            <w:webHidden/>
          </w:rPr>
          <w:fldChar w:fldCharType="begin"/>
        </w:r>
        <w:r w:rsidR="00D516E3">
          <w:rPr>
            <w:noProof/>
            <w:webHidden/>
          </w:rPr>
          <w:instrText xml:space="preserve"> PAGEREF _Toc165302067 \h </w:instrText>
        </w:r>
        <w:r w:rsidR="00D516E3">
          <w:rPr>
            <w:noProof/>
            <w:webHidden/>
          </w:rPr>
        </w:r>
        <w:r w:rsidR="00D516E3">
          <w:rPr>
            <w:noProof/>
            <w:webHidden/>
          </w:rPr>
          <w:fldChar w:fldCharType="separate"/>
        </w:r>
        <w:r w:rsidR="00D516E3">
          <w:rPr>
            <w:noProof/>
            <w:webHidden/>
          </w:rPr>
          <w:t>81</w:t>
        </w:r>
        <w:r w:rsidR="00D516E3">
          <w:rPr>
            <w:noProof/>
            <w:webHidden/>
          </w:rPr>
          <w:fldChar w:fldCharType="end"/>
        </w:r>
      </w:hyperlink>
    </w:p>
    <w:p w14:paraId="4EAF8599"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68" w:history="1">
        <w:r w:rsidR="00D516E3">
          <w:rPr>
            <w:rStyle w:val="a5"/>
            <w:noProof/>
          </w:rPr>
          <w:t>C.3.</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rPr>
          <w:t xml:space="preserve">Implementation of </w:t>
        </w:r>
        <w:r w:rsidR="00D516E3">
          <w:rPr>
            <w:rStyle w:val="a5"/>
            <w:iCs/>
            <w:noProof/>
          </w:rPr>
          <w:t>fluence-to-dose response functions</w:t>
        </w:r>
        <w:r w:rsidR="00D516E3">
          <w:rPr>
            <w:rStyle w:val="a5"/>
            <w:noProof/>
          </w:rPr>
          <w:t xml:space="preserve"> and dose enhancement factors to some Monte Carlo codes used in medical physics</w:t>
        </w:r>
        <w:r w:rsidR="00D516E3">
          <w:rPr>
            <w:noProof/>
            <w:webHidden/>
          </w:rPr>
          <w:tab/>
        </w:r>
        <w:r w:rsidR="00D516E3">
          <w:rPr>
            <w:noProof/>
            <w:webHidden/>
          </w:rPr>
          <w:fldChar w:fldCharType="begin"/>
        </w:r>
        <w:r w:rsidR="00D516E3">
          <w:rPr>
            <w:noProof/>
            <w:webHidden/>
          </w:rPr>
          <w:instrText xml:space="preserve"> PAGEREF _Toc165302068 \h </w:instrText>
        </w:r>
        <w:r w:rsidR="00D516E3">
          <w:rPr>
            <w:noProof/>
            <w:webHidden/>
          </w:rPr>
        </w:r>
        <w:r w:rsidR="00D516E3">
          <w:rPr>
            <w:noProof/>
            <w:webHidden/>
          </w:rPr>
          <w:fldChar w:fldCharType="separate"/>
        </w:r>
        <w:r w:rsidR="00D516E3">
          <w:rPr>
            <w:noProof/>
            <w:webHidden/>
          </w:rPr>
          <w:t>81</w:t>
        </w:r>
        <w:r w:rsidR="00D516E3">
          <w:rPr>
            <w:noProof/>
            <w:webHidden/>
          </w:rPr>
          <w:fldChar w:fldCharType="end"/>
        </w:r>
      </w:hyperlink>
    </w:p>
    <w:p w14:paraId="3EA51580" w14:textId="77777777" w:rsidR="00E72CA9" w:rsidRDefault="00AD0DD0">
      <w:pPr>
        <w:pStyle w:val="21"/>
        <w:rPr>
          <w:rFonts w:asciiTheme="minorHAnsi" w:eastAsiaTheme="minorEastAsia" w:hAnsiTheme="minorHAnsi" w:cstheme="minorBidi"/>
          <w:bCs w:val="0"/>
          <w:noProof/>
          <w:kern w:val="2"/>
          <w:sz w:val="24"/>
          <w:szCs w:val="24"/>
          <w:lang w:eastAsia="ja-JP"/>
          <w14:ligatures w14:val="standardContextual"/>
        </w:rPr>
      </w:pPr>
      <w:hyperlink w:anchor="_Toc165302069" w:history="1">
        <w:r w:rsidR="00D516E3">
          <w:rPr>
            <w:rStyle w:val="a5"/>
            <w:noProof/>
            <w:lang w:val="de-DE"/>
          </w:rPr>
          <w:t>C.4.</w:t>
        </w:r>
        <w:r w:rsidR="00D516E3">
          <w:rPr>
            <w:rFonts w:asciiTheme="minorHAnsi" w:eastAsiaTheme="minorEastAsia" w:hAnsiTheme="minorHAnsi" w:cstheme="minorBidi"/>
            <w:bCs w:val="0"/>
            <w:noProof/>
            <w:kern w:val="2"/>
            <w:sz w:val="24"/>
            <w:szCs w:val="24"/>
            <w:lang w:eastAsia="ja-JP"/>
            <w14:ligatures w14:val="standardContextual"/>
          </w:rPr>
          <w:tab/>
        </w:r>
        <w:r w:rsidR="00D516E3">
          <w:rPr>
            <w:rStyle w:val="a5"/>
            <w:noProof/>
            <w:lang w:val="de-DE"/>
          </w:rPr>
          <w:t>References</w:t>
        </w:r>
        <w:r w:rsidR="00D516E3">
          <w:rPr>
            <w:noProof/>
            <w:webHidden/>
          </w:rPr>
          <w:tab/>
        </w:r>
        <w:r w:rsidR="00D516E3">
          <w:rPr>
            <w:noProof/>
            <w:webHidden/>
          </w:rPr>
          <w:fldChar w:fldCharType="begin"/>
        </w:r>
        <w:r w:rsidR="00D516E3">
          <w:rPr>
            <w:noProof/>
            <w:webHidden/>
          </w:rPr>
          <w:instrText xml:space="preserve"> PAGEREF _Toc165302069 \h </w:instrText>
        </w:r>
        <w:r w:rsidR="00D516E3">
          <w:rPr>
            <w:noProof/>
            <w:webHidden/>
          </w:rPr>
        </w:r>
        <w:r w:rsidR="00D516E3">
          <w:rPr>
            <w:noProof/>
            <w:webHidden/>
          </w:rPr>
          <w:fldChar w:fldCharType="separate"/>
        </w:r>
        <w:r w:rsidR="00D516E3">
          <w:rPr>
            <w:noProof/>
            <w:webHidden/>
          </w:rPr>
          <w:t>87</w:t>
        </w:r>
        <w:r w:rsidR="00D516E3">
          <w:rPr>
            <w:noProof/>
            <w:webHidden/>
          </w:rPr>
          <w:fldChar w:fldCharType="end"/>
        </w:r>
      </w:hyperlink>
    </w:p>
    <w:p w14:paraId="5E369DF3"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70" w:history="1">
        <w:r w:rsidR="00D516E3">
          <w:rPr>
            <w:rStyle w:val="a5"/>
          </w:rPr>
          <w:t>ANNEX D.</w:t>
        </w:r>
        <w:r w:rsidR="00D516E3">
          <w:rPr>
            <w:rFonts w:asciiTheme="minorHAnsi" w:eastAsiaTheme="minorEastAsia" w:hAnsiTheme="minorHAnsi" w:cstheme="minorBidi"/>
            <w:bCs w:val="0"/>
            <w:iCs w:val="0"/>
            <w:caps w:val="0"/>
            <w:kern w:val="2"/>
            <w:sz w:val="24"/>
            <w:szCs w:val="24"/>
            <w:lang w:eastAsia="ja-JP"/>
            <w14:ligatures w14:val="standardContextual"/>
          </w:rPr>
          <w:tab/>
        </w:r>
        <w:r w:rsidR="00D516E3">
          <w:rPr>
            <w:rStyle w:val="a5"/>
          </w:rPr>
          <w:t>electronic supplement</w:t>
        </w:r>
        <w:r w:rsidR="00D516E3">
          <w:rPr>
            <w:webHidden/>
          </w:rPr>
          <w:tab/>
        </w:r>
        <w:r w:rsidR="00D516E3">
          <w:rPr>
            <w:webHidden/>
          </w:rPr>
          <w:fldChar w:fldCharType="begin"/>
        </w:r>
        <w:r w:rsidR="00D516E3">
          <w:rPr>
            <w:webHidden/>
          </w:rPr>
          <w:instrText xml:space="preserve"> PAGEREF _Toc165302070 \h </w:instrText>
        </w:r>
        <w:r w:rsidR="00D516E3">
          <w:rPr>
            <w:webHidden/>
          </w:rPr>
        </w:r>
        <w:r w:rsidR="00D516E3">
          <w:rPr>
            <w:webHidden/>
          </w:rPr>
          <w:fldChar w:fldCharType="separate"/>
        </w:r>
        <w:r w:rsidR="00D516E3">
          <w:rPr>
            <w:webHidden/>
          </w:rPr>
          <w:t>88</w:t>
        </w:r>
        <w:r w:rsidR="00D516E3">
          <w:rPr>
            <w:webHidden/>
          </w:rPr>
          <w:fldChar w:fldCharType="end"/>
        </w:r>
      </w:hyperlink>
    </w:p>
    <w:p w14:paraId="705653EF" w14:textId="77777777" w:rsidR="00E72CA9" w:rsidRDefault="00AD0DD0">
      <w:pPr>
        <w:pStyle w:val="13"/>
        <w:rPr>
          <w:rFonts w:asciiTheme="minorHAnsi" w:eastAsiaTheme="minorEastAsia" w:hAnsiTheme="minorHAnsi" w:cstheme="minorBidi"/>
          <w:bCs w:val="0"/>
          <w:iCs w:val="0"/>
          <w:caps w:val="0"/>
          <w:kern w:val="2"/>
          <w:sz w:val="24"/>
          <w:szCs w:val="24"/>
          <w:lang w:eastAsia="ja-JP"/>
          <w14:ligatures w14:val="standardContextual"/>
        </w:rPr>
      </w:pPr>
      <w:hyperlink w:anchor="_Toc165302071" w:history="1">
        <w:r w:rsidR="00D516E3">
          <w:rPr>
            <w:rStyle w:val="a5"/>
          </w:rPr>
          <w:t>Acknowledgements</w:t>
        </w:r>
        <w:r w:rsidR="00D516E3">
          <w:rPr>
            <w:webHidden/>
          </w:rPr>
          <w:tab/>
        </w:r>
        <w:r w:rsidR="00D516E3">
          <w:rPr>
            <w:webHidden/>
          </w:rPr>
          <w:fldChar w:fldCharType="begin"/>
        </w:r>
        <w:r w:rsidR="00D516E3">
          <w:rPr>
            <w:webHidden/>
          </w:rPr>
          <w:instrText xml:space="preserve"> PAGEREF _Toc165302071 \h </w:instrText>
        </w:r>
        <w:r w:rsidR="00D516E3">
          <w:rPr>
            <w:webHidden/>
          </w:rPr>
        </w:r>
        <w:r w:rsidR="00D516E3">
          <w:rPr>
            <w:webHidden/>
          </w:rPr>
          <w:fldChar w:fldCharType="separate"/>
        </w:r>
        <w:r w:rsidR="00D516E3">
          <w:rPr>
            <w:webHidden/>
          </w:rPr>
          <w:t>89</w:t>
        </w:r>
        <w:r w:rsidR="00D516E3">
          <w:rPr>
            <w:webHidden/>
          </w:rPr>
          <w:fldChar w:fldCharType="end"/>
        </w:r>
      </w:hyperlink>
    </w:p>
    <w:p w14:paraId="3ADEDDCD" w14:textId="77777777" w:rsidR="00E72CA9" w:rsidRDefault="00D516E3">
      <w:pPr>
        <w:spacing w:before="120" w:after="120"/>
        <w:jc w:val="both"/>
        <w:rPr>
          <w:bCs/>
          <w:sz w:val="22"/>
          <w:lang w:eastAsia="ja-JP"/>
        </w:rPr>
      </w:pPr>
      <w:r>
        <w:rPr>
          <w:rFonts w:eastAsia="Times New Roman" w:cstheme="minorHAnsi"/>
          <w:bCs/>
          <w:iCs/>
          <w:caps/>
          <w:noProof/>
          <w:sz w:val="22"/>
        </w:rPr>
        <w:fldChar w:fldCharType="end"/>
      </w:r>
    </w:p>
    <w:p w14:paraId="12EFE38F" w14:textId="77777777" w:rsidR="00E72CA9" w:rsidRDefault="00E72CA9">
      <w:pPr>
        <w:spacing w:before="120" w:after="120"/>
        <w:jc w:val="both"/>
        <w:rPr>
          <w:bCs/>
          <w:sz w:val="22"/>
          <w:lang w:eastAsia="ja-JP"/>
        </w:rPr>
      </w:pPr>
    </w:p>
    <w:p w14:paraId="17F98F83" w14:textId="77777777" w:rsidR="00E72CA9" w:rsidRDefault="00E72CA9">
      <w:pPr>
        <w:spacing w:before="120" w:after="120"/>
        <w:jc w:val="both"/>
        <w:rPr>
          <w:bCs/>
          <w:sz w:val="22"/>
          <w:lang w:eastAsia="ja-JP"/>
        </w:rPr>
      </w:pPr>
    </w:p>
    <w:p w14:paraId="5C034EA8" w14:textId="77777777" w:rsidR="00E72CA9" w:rsidRDefault="00D516E3">
      <w:pPr>
        <w:spacing w:before="120" w:after="120"/>
        <w:jc w:val="both"/>
        <w:rPr>
          <w:bCs/>
          <w:sz w:val="22"/>
          <w:lang w:eastAsia="ja-JP"/>
        </w:rPr>
      </w:pPr>
      <w:r>
        <w:rPr>
          <w:bCs/>
          <w:sz w:val="22"/>
          <w:lang w:eastAsia="ja-JP"/>
        </w:rPr>
        <w:br w:type="page"/>
      </w:r>
    </w:p>
    <w:tbl>
      <w:tblPr>
        <w:tblW w:w="0" w:type="auto"/>
        <w:tblCellMar>
          <w:left w:w="0" w:type="dxa"/>
          <w:right w:w="0" w:type="dxa"/>
        </w:tblCellMar>
        <w:tblLook w:val="04A0" w:firstRow="1" w:lastRow="0" w:firstColumn="1" w:lastColumn="0" w:noHBand="0" w:noVBand="1"/>
      </w:tblPr>
      <w:tblGrid>
        <w:gridCol w:w="3036"/>
        <w:gridCol w:w="2973"/>
        <w:gridCol w:w="3017"/>
      </w:tblGrid>
      <w:tr w:rsidR="00E72CA9" w14:paraId="7AEB040C" w14:textId="77777777">
        <w:trPr>
          <w:trHeight w:val="20"/>
        </w:trPr>
        <w:tc>
          <w:tcPr>
            <w:tcW w:w="3036" w:type="dxa"/>
            <w:shd w:val="clear" w:color="auto" w:fill="auto"/>
            <w:vAlign w:val="bottom"/>
          </w:tcPr>
          <w:p w14:paraId="05ED7A79" w14:textId="77777777" w:rsidR="00E72CA9" w:rsidRDefault="00D516E3">
            <w:pPr>
              <w:pStyle w:val="ICRPbasic"/>
              <w:jc w:val="left"/>
            </w:pPr>
            <w:r>
              <w:lastRenderedPageBreak/>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fldChar w:fldCharType="begin"/>
            </w:r>
            <w:r>
              <w:instrText xml:space="preserve"> INCLUDEPICTURE  "https://home.heinonline.org/wp-content/uploads/2020/09/SAGE_Logo.png" \* MERGEFORMATINET </w:instrText>
            </w:r>
            <w:r>
              <w:fldChar w:fldCharType="separate"/>
            </w:r>
            <w:r>
              <w:rPr>
                <w:noProof/>
                <w:lang w:eastAsia="en-GB"/>
              </w:rPr>
              <w:drawing>
                <wp:inline distT="0" distB="0" distL="0" distR="0" wp14:anchorId="07440B57" wp14:editId="5873B76F">
                  <wp:extent cx="1450340" cy="434340"/>
                  <wp:effectExtent l="0" t="0" r="0" b="0"/>
                  <wp:docPr id="2" name="Picture 2" descr="SAGE Journals - HeinOnli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AGE Journals - HeinOnline"/>
                          <pic:cNvPicPr>
                            <a:picLocks/>
                          </pic:cNvPicPr>
                        </pic:nvPicPr>
                        <pic:blipFill>
                          <a:blip r:embed="rId8" cstate="email">
                            <a:grayscl/>
                            <a:biLevel thresh="50000"/>
                            <a:extLst>
                              <a:ext uri="{28A0092B-C50C-407E-A947-70E740481C1C}">
                                <a14:useLocalDpi xmlns:a14="http://schemas.microsoft.com/office/drawing/2010/main"/>
                              </a:ext>
                            </a:extLst>
                          </a:blip>
                          <a:srcRect l="6052" t="13225" r="3442" b="13937"/>
                          <a:stretch>
                            <a:fillRect/>
                          </a:stretch>
                        </pic:blipFill>
                        <pic:spPr bwMode="auto">
                          <a:xfrm>
                            <a:off x="0" y="0"/>
                            <a:ext cx="1450340" cy="43434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c>
          <w:tcPr>
            <w:tcW w:w="2973" w:type="dxa"/>
            <w:shd w:val="clear" w:color="auto" w:fill="auto"/>
            <w:vAlign w:val="bottom"/>
          </w:tcPr>
          <w:p w14:paraId="0280159B" w14:textId="77777777" w:rsidR="00E72CA9" w:rsidRDefault="00D516E3">
            <w:pPr>
              <w:pStyle w:val="ICRPbasic"/>
              <w:jc w:val="center"/>
            </w:pPr>
            <w:r>
              <w:t>ICRP Publication XXX</w:t>
            </w:r>
          </w:p>
        </w:tc>
        <w:tc>
          <w:tcPr>
            <w:tcW w:w="3017" w:type="dxa"/>
            <w:shd w:val="clear" w:color="auto" w:fill="auto"/>
            <w:vAlign w:val="bottom"/>
          </w:tcPr>
          <w:p w14:paraId="06C97DC8" w14:textId="77777777" w:rsidR="00E72CA9" w:rsidRDefault="00D516E3">
            <w:pPr>
              <w:pStyle w:val="ICRPbasic"/>
              <w:jc w:val="right"/>
            </w:pPr>
            <w:r>
              <w:rPr>
                <w:noProof/>
                <w:lang w:eastAsia="en-GB"/>
              </w:rPr>
              <w:drawing>
                <wp:inline distT="0" distB="0" distL="0" distR="0" wp14:anchorId="6A510B51" wp14:editId="422C1524">
                  <wp:extent cx="1209675" cy="47117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9" cstate="email">
                            <a:grayscl/>
                            <a:biLevel thresh="50000"/>
                            <a:extLst>
                              <a:ext uri="{28A0092B-C50C-407E-A947-70E740481C1C}">
                                <a14:useLocalDpi xmlns:a14="http://schemas.microsoft.com/office/drawing/2010/main"/>
                              </a:ext>
                            </a:extLst>
                          </a:blip>
                          <a:srcRect/>
                          <a:stretch>
                            <a:fillRect/>
                          </a:stretch>
                        </pic:blipFill>
                        <pic:spPr bwMode="auto">
                          <a:xfrm>
                            <a:off x="0" y="0"/>
                            <a:ext cx="1209675" cy="471170"/>
                          </a:xfrm>
                          <a:prstGeom prst="rect">
                            <a:avLst/>
                          </a:prstGeom>
                          <a:noFill/>
                          <a:ln>
                            <a:noFill/>
                          </a:ln>
                        </pic:spPr>
                      </pic:pic>
                    </a:graphicData>
                  </a:graphic>
                </wp:inline>
              </w:drawing>
            </w:r>
          </w:p>
        </w:tc>
      </w:tr>
    </w:tbl>
    <w:p w14:paraId="25073F81" w14:textId="77777777" w:rsidR="00E72CA9" w:rsidRDefault="00D516E3">
      <w:pPr>
        <w:spacing w:before="480"/>
        <w:jc w:val="center"/>
        <w:rPr>
          <w:b/>
          <w:caps/>
          <w:sz w:val="32"/>
          <w:szCs w:val="32"/>
        </w:rPr>
      </w:pPr>
      <w:bookmarkStart w:id="7" w:name="_Toc6997819"/>
      <w:bookmarkStart w:id="8" w:name="_Toc6997910"/>
      <w:bookmarkStart w:id="9" w:name="_Toc6998173"/>
      <w:bookmarkStart w:id="10" w:name="_Toc6998298"/>
      <w:bookmarkStart w:id="11" w:name="_Toc6998388"/>
      <w:r>
        <w:rPr>
          <w:b/>
          <w:caps/>
          <w:sz w:val="32"/>
          <w:szCs w:val="32"/>
        </w:rPr>
        <w:t xml:space="preserve">Reference Organ and Effective Dose Coefficients for </w:t>
      </w:r>
    </w:p>
    <w:p w14:paraId="221C0BDC" w14:textId="77777777" w:rsidR="00E72CA9" w:rsidRDefault="00D516E3">
      <w:pPr>
        <w:spacing w:after="480"/>
        <w:jc w:val="center"/>
        <w:rPr>
          <w:b/>
          <w:caps/>
          <w:sz w:val="32"/>
          <w:szCs w:val="32"/>
        </w:rPr>
      </w:pPr>
      <w:r>
        <w:rPr>
          <w:b/>
          <w:caps/>
          <w:sz w:val="32"/>
          <w:szCs w:val="32"/>
        </w:rPr>
        <w:t>Common Radiographic Examinations</w:t>
      </w:r>
    </w:p>
    <w:p w14:paraId="28FFC227" w14:textId="77777777" w:rsidR="00E72CA9" w:rsidRDefault="00D516E3">
      <w:pPr>
        <w:pStyle w:val="ICRPbasic"/>
        <w:jc w:val="center"/>
      </w:pPr>
      <w:r>
        <w:t>ICRP PUBLICATION XXX</w:t>
      </w:r>
    </w:p>
    <w:p w14:paraId="76C813BA" w14:textId="77777777" w:rsidR="00E72CA9" w:rsidRDefault="00D516E3">
      <w:pPr>
        <w:pStyle w:val="ICRPbasic"/>
        <w:jc w:val="center"/>
      </w:pPr>
      <w:r>
        <w:t>Approved by the Commission in MMMMM 20XX</w:t>
      </w:r>
    </w:p>
    <w:p w14:paraId="74A9C44C" w14:textId="77777777" w:rsidR="00E72CA9" w:rsidRDefault="00E72CA9">
      <w:pPr>
        <w:pStyle w:val="ICRPbasic"/>
        <w:jc w:val="center"/>
      </w:pPr>
    </w:p>
    <w:bookmarkEnd w:id="7"/>
    <w:bookmarkEnd w:id="8"/>
    <w:bookmarkEnd w:id="9"/>
    <w:bookmarkEnd w:id="10"/>
    <w:bookmarkEnd w:id="11"/>
    <w:p w14:paraId="2FDC9005" w14:textId="77777777" w:rsidR="00E72CA9" w:rsidRDefault="00D516E3">
      <w:pPr>
        <w:spacing w:before="120" w:line="264" w:lineRule="auto"/>
        <w:jc w:val="both"/>
      </w:pPr>
      <w:r>
        <w:rPr>
          <w:b/>
        </w:rPr>
        <w:t>Abstract</w:t>
      </w:r>
      <w:r>
        <w:t xml:space="preserve">–This </w:t>
      </w:r>
      <w:r>
        <w:rPr>
          <w:bCs/>
        </w:rPr>
        <w:t>publication presents organ absorbed dose and effective dose coefficients</w:t>
      </w:r>
      <w:r>
        <w:rPr>
          <w:b/>
          <w:bCs/>
        </w:rPr>
        <w:t xml:space="preserve"> </w:t>
      </w:r>
      <w:r>
        <w:t xml:space="preserve">for patients resulting from common diagnostic radiographic examinations, calculated using computational voxel phantoms representing the ICRP reference newborn, 1-year-old, 5-year-old, 10-year-old, 15-year-old, and adult male and female. </w:t>
      </w:r>
      <w:r>
        <w:rPr>
          <w:lang w:eastAsia="ja-JP"/>
        </w:rPr>
        <w:t xml:space="preserve">Reference imaging examinations were firstly defined </w:t>
      </w:r>
      <w:r>
        <w:t xml:space="preserve">to cover the most common projections of clinical practice. In this publication, these examinations are limited to the digital radiography technique that would be clinically consistent with imaging the body morphometry of the reference individuals. Monte Carlo radiation transport simulations for the reference imaging exams were performed using the radiation transport codes </w:t>
      </w:r>
      <w:bookmarkStart w:id="12" w:name="_Hlk158479121"/>
      <w:r>
        <w:t>GEANT4 (</w:t>
      </w:r>
      <w:r>
        <w:rPr>
          <w:u w:val="single"/>
        </w:rPr>
        <w:t>Ge</w:t>
      </w:r>
      <w:r>
        <w:t xml:space="preserve">ometry </w:t>
      </w:r>
      <w:r>
        <w:rPr>
          <w:u w:val="single"/>
        </w:rPr>
        <w:t>an</w:t>
      </w:r>
      <w:r>
        <w:t xml:space="preserve">d </w:t>
      </w:r>
      <w:r>
        <w:rPr>
          <w:u w:val="single"/>
        </w:rPr>
        <w:t>T</w:t>
      </w:r>
      <w:r>
        <w:t xml:space="preserve">racking, version </w:t>
      </w:r>
      <w:r>
        <w:rPr>
          <w:u w:val="single"/>
        </w:rPr>
        <w:t>4</w:t>
      </w:r>
      <w:r>
        <w:t>) and EGSnrc (</w:t>
      </w:r>
      <w:r>
        <w:rPr>
          <w:u w:val="single"/>
        </w:rPr>
        <w:t>E</w:t>
      </w:r>
      <w:r>
        <w:t xml:space="preserve">lectron </w:t>
      </w:r>
      <w:r>
        <w:rPr>
          <w:u w:val="single"/>
        </w:rPr>
        <w:t>G</w:t>
      </w:r>
      <w:r>
        <w:t xml:space="preserve">amma </w:t>
      </w:r>
      <w:r>
        <w:rPr>
          <w:u w:val="single"/>
        </w:rPr>
        <w:t>S</w:t>
      </w:r>
      <w:r>
        <w:t xml:space="preserve">hower </w:t>
      </w:r>
      <w:r>
        <w:rPr>
          <w:u w:val="single"/>
        </w:rPr>
        <w:t>N</w:t>
      </w:r>
      <w:r>
        <w:t xml:space="preserve">ational </w:t>
      </w:r>
      <w:r>
        <w:rPr>
          <w:u w:val="single"/>
        </w:rPr>
        <w:t>R</w:t>
      </w:r>
      <w:r>
        <w:t xml:space="preserve">esearch </w:t>
      </w:r>
      <w:r>
        <w:rPr>
          <w:u w:val="single"/>
        </w:rPr>
        <w:t>C</w:t>
      </w:r>
      <w:r>
        <w:t xml:space="preserve">ouncil of Canada) </w:t>
      </w:r>
      <w:bookmarkEnd w:id="12"/>
      <w:r>
        <w:t xml:space="preserve">to report organ absorbed dose and effective dose coefficients for each of the reference computational phantoms and for each of the relevant reference imaging exams. For quality assurance purposes, and following standard procedures developed for other ICRP publications presenting dose coefficients using reference phantoms, further spot-check calculations were performed. The Monte Carlo calculations were performed for monoenergetic radiation fields </w:t>
      </w:r>
      <w:r>
        <w:rPr>
          <w:bCs/>
          <w:szCs w:val="24"/>
          <w:lang w:val="en-US"/>
        </w:rPr>
        <w:t>in 1 keV photon energy bins from 3 to 150 keV for adults and from 1 to 80, 100 or 120 keV for infants and children,</w:t>
      </w:r>
      <w:r>
        <w:t xml:space="preserve"> allowing the reconstruction of dose coefficients for spectral beams. From the monoenergetic values, effective and organ absorbed dose coefficients for several x-ray spectra for the defined radiographic projections were computed using a convolution program. These organ absorbed dose coefficients are given as dose normalised to kerma-area product (KAP, </w:t>
      </w:r>
      <w:r>
        <w:rPr>
          <w:bCs/>
          <w:i/>
          <w:szCs w:val="24"/>
        </w:rPr>
        <w:t>P</w:t>
      </w:r>
      <w:r>
        <w:rPr>
          <w:bCs/>
          <w:szCs w:val="24"/>
          <w:vertAlign w:val="subscript"/>
        </w:rPr>
        <w:t>KA</w:t>
      </w:r>
      <w:r>
        <w:rPr>
          <w:bCs/>
          <w:szCs w:val="24"/>
        </w:rPr>
        <w:t>)</w:t>
      </w:r>
      <w:r>
        <w:t>, in mGy Gy</w:t>
      </w:r>
      <w:r>
        <w:rPr>
          <w:vertAlign w:val="superscript"/>
        </w:rPr>
        <w:t>−1</w:t>
      </w:r>
      <w:r>
        <w:t xml:space="preserve"> cm</w:t>
      </w:r>
      <w:r>
        <w:rPr>
          <w:vertAlign w:val="superscript"/>
        </w:rPr>
        <w:t>−2</w:t>
      </w:r>
      <w:r>
        <w:t xml:space="preserve"> and to dose per air kerma free-in-air at 1 m distance from the source in units of mGy Gy</w:t>
      </w:r>
      <w:r>
        <w:rPr>
          <w:vertAlign w:val="superscript"/>
        </w:rPr>
        <w:t>−1</w:t>
      </w:r>
      <w:r>
        <w:t>. The effective dose coefficients are given in units of mSv Gy</w:t>
      </w:r>
      <w:r>
        <w:rPr>
          <w:vertAlign w:val="superscript"/>
        </w:rPr>
        <w:t>−1</w:t>
      </w:r>
      <w:r>
        <w:t xml:space="preserve"> cm</w:t>
      </w:r>
      <w:r>
        <w:rPr>
          <w:vertAlign w:val="superscript"/>
        </w:rPr>
        <w:t>−2</w:t>
      </w:r>
      <w:r>
        <w:t xml:space="preserve"> and mSv Gy</w:t>
      </w:r>
      <w:r>
        <w:rPr>
          <w:vertAlign w:val="superscript"/>
        </w:rPr>
        <w:t>−1</w:t>
      </w:r>
      <w:r>
        <w:t xml:space="preserve">, respectively. The present publication is the first of a series reporting organ absorbed and effective doses for various </w:t>
      </w:r>
      <w:bookmarkStart w:id="13" w:name="_Hlk146196921"/>
      <w:r>
        <w:t>diagnostic x-ray modalities</w:t>
      </w:r>
      <w:bookmarkEnd w:id="13"/>
      <w:r>
        <w:t>.</w:t>
      </w:r>
    </w:p>
    <w:p w14:paraId="3B8DE5C2" w14:textId="77777777" w:rsidR="00E72CA9" w:rsidRDefault="00E72CA9">
      <w:pPr>
        <w:pStyle w:val="Annalstext"/>
        <w:tabs>
          <w:tab w:val="clear" w:pos="502"/>
          <w:tab w:val="clear" w:pos="851"/>
          <w:tab w:val="left" w:pos="284"/>
        </w:tabs>
        <w:ind w:left="0" w:firstLineChars="50" w:firstLine="120"/>
        <w:rPr>
          <w:szCs w:val="24"/>
          <w:lang w:eastAsia="ja-JP"/>
        </w:rPr>
      </w:pPr>
    </w:p>
    <w:p w14:paraId="4DB42A6D" w14:textId="77777777" w:rsidR="00E72CA9" w:rsidRDefault="00D516E3">
      <w:pPr>
        <w:pStyle w:val="Annalstext"/>
        <w:tabs>
          <w:tab w:val="clear" w:pos="502"/>
          <w:tab w:val="clear" w:pos="851"/>
          <w:tab w:val="left" w:pos="284"/>
        </w:tabs>
        <w:ind w:left="0" w:firstLine="0"/>
        <w:rPr>
          <w:szCs w:val="24"/>
        </w:rPr>
      </w:pPr>
      <w:r>
        <w:rPr>
          <w:szCs w:val="24"/>
        </w:rPr>
        <w:t xml:space="preserve">© 20YY ICRP. Published by SAGE. </w:t>
      </w:r>
    </w:p>
    <w:p w14:paraId="13CC8778" w14:textId="77777777" w:rsidR="00E72CA9" w:rsidRDefault="00E72CA9">
      <w:pPr>
        <w:pStyle w:val="Annalstext"/>
        <w:tabs>
          <w:tab w:val="clear" w:pos="502"/>
        </w:tabs>
        <w:ind w:left="0" w:firstLine="0"/>
        <w:rPr>
          <w:szCs w:val="24"/>
        </w:rPr>
      </w:pPr>
    </w:p>
    <w:p w14:paraId="2875C157" w14:textId="77777777" w:rsidR="00E72CA9" w:rsidRDefault="00D516E3">
      <w:pPr>
        <w:pStyle w:val="Annalstext"/>
        <w:tabs>
          <w:tab w:val="clear" w:pos="502"/>
        </w:tabs>
        <w:ind w:left="0" w:firstLine="0"/>
        <w:rPr>
          <w:szCs w:val="24"/>
        </w:rPr>
      </w:pPr>
      <w:r>
        <w:rPr>
          <w:i/>
          <w:iCs/>
          <w:szCs w:val="24"/>
        </w:rPr>
        <w:t xml:space="preserve">Keywords: </w:t>
      </w:r>
      <w:r>
        <w:rPr>
          <w:iCs/>
          <w:szCs w:val="24"/>
        </w:rPr>
        <w:t>R</w:t>
      </w:r>
      <w:r>
        <w:rPr>
          <w:szCs w:val="24"/>
        </w:rPr>
        <w:t>adiography; Projections; Organ absorbed dose; Effective dose; Monte Carlo; Children; Adults; Optimisation</w:t>
      </w:r>
    </w:p>
    <w:p w14:paraId="4886E9AB" w14:textId="77777777" w:rsidR="00E72CA9" w:rsidRDefault="00E72CA9">
      <w:pPr>
        <w:pStyle w:val="Annalstext"/>
        <w:tabs>
          <w:tab w:val="clear" w:pos="502"/>
        </w:tabs>
        <w:ind w:left="0" w:firstLine="0"/>
        <w:rPr>
          <w:sz w:val="22"/>
        </w:rPr>
      </w:pPr>
    </w:p>
    <w:p w14:paraId="7ABF0E66" w14:textId="77777777" w:rsidR="00E72CA9" w:rsidRDefault="00D516E3">
      <w:pPr>
        <w:pStyle w:val="Heading1nonumbering"/>
        <w:outlineLvl w:val="0"/>
      </w:pPr>
      <w:r>
        <w:br w:type="page"/>
      </w:r>
      <w:bookmarkStart w:id="14" w:name="Preface"/>
      <w:bookmarkStart w:id="15" w:name="_Toc6997820"/>
      <w:bookmarkStart w:id="16" w:name="_Toc6997911"/>
      <w:bookmarkStart w:id="17" w:name="_Toc6998174"/>
      <w:bookmarkStart w:id="18" w:name="_Toc6998299"/>
      <w:bookmarkStart w:id="19" w:name="_Toc6998389"/>
      <w:bookmarkStart w:id="20" w:name="_Toc158293320"/>
      <w:bookmarkStart w:id="21" w:name="_Toc165302032"/>
      <w:bookmarkEnd w:id="14"/>
      <w:r>
        <w:lastRenderedPageBreak/>
        <w:t>MAIN POINTS</w:t>
      </w:r>
      <w:bookmarkEnd w:id="15"/>
      <w:bookmarkEnd w:id="16"/>
      <w:bookmarkEnd w:id="17"/>
      <w:bookmarkEnd w:id="18"/>
      <w:bookmarkEnd w:id="19"/>
      <w:bookmarkEnd w:id="20"/>
      <w:bookmarkEnd w:id="21"/>
    </w:p>
    <w:p w14:paraId="0E9851A0" w14:textId="77777777" w:rsidR="00E72CA9" w:rsidRDefault="00D516E3">
      <w:pPr>
        <w:pStyle w:val="a7"/>
        <w:numPr>
          <w:ilvl w:val="0"/>
          <w:numId w:val="14"/>
        </w:numPr>
        <w:tabs>
          <w:tab w:val="left" w:pos="0"/>
        </w:tabs>
        <w:spacing w:before="120" w:line="264" w:lineRule="auto"/>
        <w:ind w:left="567" w:hanging="425"/>
        <w:jc w:val="both"/>
        <w:rPr>
          <w:rFonts w:ascii="Times New Roman" w:hAnsi="Times New Roman"/>
          <w:b/>
          <w:bCs/>
          <w:sz w:val="24"/>
          <w:szCs w:val="24"/>
          <w:lang w:val="en-US"/>
        </w:rPr>
      </w:pPr>
      <w:bookmarkStart w:id="22" w:name="_Toc444334827"/>
      <w:bookmarkStart w:id="23" w:name="_Toc444336667"/>
      <w:r>
        <w:rPr>
          <w:rFonts w:ascii="Times New Roman" w:hAnsi="Times New Roman"/>
          <w:b/>
          <w:bCs/>
          <w:sz w:val="24"/>
          <w:szCs w:val="24"/>
          <w:lang w:val="en-US"/>
        </w:rPr>
        <w:t xml:space="preserve">This publication describes the ICRP approach to developing organ absorbed dose coefficients for radiographic imaging for a range of examinations commonly performed on adults and children. This is the first set of such coefficients published by the commission and as such will be of benefit to a wide range of practitioners and national authorities. </w:t>
      </w:r>
      <w:r>
        <w:rPr>
          <w:rFonts w:ascii="Times New Roman" w:hAnsi="Times New Roman"/>
          <w:b/>
          <w:bCs/>
          <w:sz w:val="24"/>
          <w:szCs w:val="24"/>
          <w:lang w:val="en-GB"/>
        </w:rPr>
        <w:t>The publication is the first of a series reporting organ absorbed and effective doses for various diagnostic x-ray modalities</w:t>
      </w:r>
      <w:r>
        <w:rPr>
          <w:rFonts w:ascii="Times New Roman" w:hAnsi="Times New Roman"/>
          <w:b/>
          <w:bCs/>
          <w:sz w:val="24"/>
          <w:szCs w:val="24"/>
          <w:lang w:val="en-US"/>
        </w:rPr>
        <w:t xml:space="preserve">. </w:t>
      </w:r>
    </w:p>
    <w:p w14:paraId="04801044" w14:textId="77777777" w:rsidR="00E72CA9" w:rsidRDefault="00D516E3">
      <w:pPr>
        <w:pStyle w:val="a7"/>
        <w:numPr>
          <w:ilvl w:val="0"/>
          <w:numId w:val="14"/>
        </w:numPr>
        <w:tabs>
          <w:tab w:val="left" w:pos="0"/>
        </w:tabs>
        <w:spacing w:before="120" w:line="264" w:lineRule="auto"/>
        <w:ind w:left="567" w:hanging="425"/>
        <w:jc w:val="both"/>
        <w:rPr>
          <w:rFonts w:ascii="Times New Roman" w:hAnsi="Times New Roman"/>
          <w:b/>
          <w:bCs/>
          <w:sz w:val="24"/>
          <w:szCs w:val="24"/>
          <w:lang w:val="en-US"/>
        </w:rPr>
      </w:pPr>
      <w:r>
        <w:rPr>
          <w:rFonts w:ascii="Times New Roman" w:hAnsi="Times New Roman"/>
          <w:b/>
          <w:bCs/>
          <w:sz w:val="24"/>
          <w:szCs w:val="24"/>
          <w:lang w:val="en-GB"/>
        </w:rPr>
        <w:t>Monte Carlo radiation transport simulations on the reference voxel computational phantoms of the ICRP male and female new-born, 1-year-old, 5-year-old, 10-year-old, 15-year-old, and adult were performed for the most frequent radiographic examinations, considering good radiographic practice and standard conditions.</w:t>
      </w:r>
    </w:p>
    <w:p w14:paraId="3FFCA977" w14:textId="77777777" w:rsidR="00E72CA9" w:rsidRDefault="00D516E3">
      <w:pPr>
        <w:pStyle w:val="a7"/>
        <w:numPr>
          <w:ilvl w:val="0"/>
          <w:numId w:val="14"/>
        </w:numPr>
        <w:tabs>
          <w:tab w:val="left" w:pos="0"/>
        </w:tabs>
        <w:spacing w:before="120" w:line="264" w:lineRule="auto"/>
        <w:ind w:left="567" w:hanging="425"/>
        <w:jc w:val="both"/>
        <w:rPr>
          <w:rFonts w:ascii="Times New Roman" w:hAnsi="Times New Roman"/>
          <w:b/>
          <w:bCs/>
          <w:sz w:val="24"/>
          <w:szCs w:val="24"/>
          <w:lang w:val="en-US"/>
        </w:rPr>
      </w:pPr>
      <w:r>
        <w:rPr>
          <w:rFonts w:ascii="Times New Roman" w:hAnsi="Times New Roman"/>
          <w:b/>
          <w:bCs/>
          <w:sz w:val="24"/>
          <w:szCs w:val="24"/>
        </w:rPr>
        <w:t xml:space="preserve">Calculations were carried out </w:t>
      </w:r>
      <w:r>
        <w:rPr>
          <w:rFonts w:ascii="Times New Roman" w:hAnsi="Times New Roman"/>
          <w:b/>
          <w:bCs/>
          <w:sz w:val="24"/>
          <w:szCs w:val="24"/>
          <w:lang w:val="en-US"/>
        </w:rPr>
        <w:t>in 1 keV photon energy bins from 3 to 150 keV for adults and from 1 to 80, 100, or 120 keV for infants and children, depending on the examination and phantom and Monte Carlo code used.</w:t>
      </w:r>
    </w:p>
    <w:p w14:paraId="5AFE0CE0" w14:textId="77777777" w:rsidR="00E72CA9" w:rsidRDefault="00D516E3">
      <w:pPr>
        <w:pStyle w:val="a7"/>
        <w:numPr>
          <w:ilvl w:val="0"/>
          <w:numId w:val="14"/>
        </w:numPr>
        <w:tabs>
          <w:tab w:val="left" w:pos="0"/>
        </w:tabs>
        <w:spacing w:before="120" w:line="264" w:lineRule="auto"/>
        <w:ind w:left="567" w:hanging="425"/>
        <w:jc w:val="both"/>
        <w:rPr>
          <w:rFonts w:ascii="Times New Roman" w:hAnsi="Times New Roman"/>
          <w:b/>
          <w:bCs/>
          <w:sz w:val="32"/>
          <w:szCs w:val="32"/>
        </w:rPr>
      </w:pPr>
      <w:r>
        <w:rPr>
          <w:rFonts w:ascii="Times New Roman" w:hAnsi="Times New Roman"/>
          <w:b/>
          <w:bCs/>
          <w:sz w:val="24"/>
          <w:szCs w:val="24"/>
          <w:lang w:val="en-US"/>
        </w:rPr>
        <w:t>Data are provide</w:t>
      </w:r>
      <w:r>
        <w:rPr>
          <w:rFonts w:ascii="Times New Roman" w:hAnsi="Times New Roman"/>
          <w:b/>
          <w:bCs/>
          <w:sz w:val="24"/>
          <w:szCs w:val="24"/>
        </w:rPr>
        <w:t>d</w:t>
      </w:r>
      <w:r>
        <w:rPr>
          <w:rFonts w:ascii="Times New Roman" w:hAnsi="Times New Roman"/>
          <w:b/>
          <w:bCs/>
          <w:sz w:val="24"/>
          <w:szCs w:val="24"/>
          <w:lang w:val="en-US"/>
        </w:rPr>
        <w:t xml:space="preserve"> in 1 keV bins </w:t>
      </w:r>
      <w:r>
        <w:rPr>
          <w:rFonts w:ascii="Times New Roman" w:hAnsi="Times New Roman"/>
          <w:b/>
          <w:bCs/>
          <w:sz w:val="24"/>
          <w:szCs w:val="24"/>
        </w:rPr>
        <w:t xml:space="preserve">as dose per fluence at 1 m distance from the source. The results can then be convolved with any x-ray spectral distribution that a user wishes to choose to obtain spectral dose coefficients. </w:t>
      </w:r>
    </w:p>
    <w:p w14:paraId="5F40D4A0" w14:textId="77777777" w:rsidR="00E72CA9" w:rsidRDefault="00D516E3">
      <w:pPr>
        <w:pStyle w:val="a7"/>
        <w:numPr>
          <w:ilvl w:val="0"/>
          <w:numId w:val="14"/>
        </w:numPr>
        <w:tabs>
          <w:tab w:val="left" w:pos="0"/>
        </w:tabs>
        <w:spacing w:before="120" w:line="264" w:lineRule="auto"/>
        <w:ind w:left="567" w:hanging="425"/>
        <w:jc w:val="both"/>
        <w:rPr>
          <w:rFonts w:ascii="Times New Roman" w:hAnsi="Times New Roman"/>
          <w:b/>
          <w:bCs/>
          <w:sz w:val="32"/>
          <w:szCs w:val="32"/>
        </w:rPr>
      </w:pPr>
      <w:bookmarkStart w:id="24" w:name="_Hlk147643970"/>
      <w:r>
        <w:rPr>
          <w:rFonts w:ascii="Times New Roman" w:hAnsi="Times New Roman"/>
          <w:b/>
          <w:bCs/>
          <w:sz w:val="24"/>
          <w:szCs w:val="24"/>
        </w:rPr>
        <w:t xml:space="preserve">Dose coefficients are provided for some ‘typical’ examples of spectral beams and examinations, 384 in total for adults and 496 for paediatric, at 50 to 130 kV and filtration of 2.5, 3.0, 3.5 mm Al and for paediatric cases additionally for 3.0 mm Al + 0.1 mm Cu. These coefficients are reported as organ absorbed and effective doses per Kerma Area Product (KAP, </w:t>
      </w:r>
      <w:r>
        <w:rPr>
          <w:rFonts w:ascii="Times New Roman" w:hAnsi="Times New Roman"/>
          <w:b/>
          <w:bCs/>
          <w:i/>
          <w:sz w:val="24"/>
          <w:szCs w:val="24"/>
        </w:rPr>
        <w:t>P</w:t>
      </w:r>
      <w:r>
        <w:rPr>
          <w:rFonts w:ascii="Times New Roman" w:hAnsi="Times New Roman"/>
          <w:b/>
          <w:bCs/>
          <w:sz w:val="24"/>
          <w:szCs w:val="24"/>
          <w:vertAlign w:val="subscript"/>
        </w:rPr>
        <w:t>KA</w:t>
      </w:r>
      <w:r>
        <w:rPr>
          <w:rFonts w:ascii="Times New Roman" w:hAnsi="Times New Roman"/>
          <w:b/>
          <w:bCs/>
          <w:sz w:val="24"/>
          <w:szCs w:val="24"/>
        </w:rPr>
        <w:t xml:space="preserve">), and per air kerma free-in-air at 1 m distance from the source.   </w:t>
      </w:r>
    </w:p>
    <w:p w14:paraId="5529E381" w14:textId="77777777" w:rsidR="00E72CA9" w:rsidRDefault="00D516E3">
      <w:pPr>
        <w:pStyle w:val="a7"/>
        <w:tabs>
          <w:tab w:val="left" w:pos="0"/>
        </w:tabs>
        <w:spacing w:before="120" w:line="264" w:lineRule="auto"/>
        <w:ind w:left="567"/>
        <w:jc w:val="both"/>
        <w:rPr>
          <w:rFonts w:ascii="Times New Roman" w:hAnsi="Times New Roman"/>
          <w:b/>
          <w:bCs/>
          <w:sz w:val="24"/>
          <w:szCs w:val="24"/>
        </w:rPr>
      </w:pPr>
      <w:r>
        <w:rPr>
          <w:rFonts w:ascii="Times New Roman" w:hAnsi="Times New Roman"/>
          <w:b/>
          <w:bCs/>
          <w:sz w:val="24"/>
          <w:szCs w:val="24"/>
        </w:rPr>
        <w:br w:type="page"/>
      </w:r>
    </w:p>
    <w:p w14:paraId="43099C7C" w14:textId="77777777" w:rsidR="00E72CA9" w:rsidRDefault="00D516E3">
      <w:pPr>
        <w:pStyle w:val="1"/>
      </w:pPr>
      <w:bookmarkStart w:id="25" w:name="_Toc158293321"/>
      <w:bookmarkStart w:id="26" w:name="_Toc158293647"/>
      <w:bookmarkStart w:id="27" w:name="_Toc165302033"/>
      <w:bookmarkEnd w:id="22"/>
      <w:bookmarkEnd w:id="23"/>
      <w:bookmarkEnd w:id="24"/>
      <w:r>
        <w:lastRenderedPageBreak/>
        <w:t>INTRODUCTION</w:t>
      </w:r>
      <w:bookmarkEnd w:id="25"/>
      <w:bookmarkEnd w:id="26"/>
      <w:bookmarkEnd w:id="27"/>
    </w:p>
    <w:p w14:paraId="62C52BF8" w14:textId="77777777" w:rsidR="00E72CA9" w:rsidRDefault="00D516E3">
      <w:pPr>
        <w:pStyle w:val="Annalstext"/>
        <w:numPr>
          <w:ilvl w:val="0"/>
          <w:numId w:val="1"/>
        </w:numPr>
        <w:tabs>
          <w:tab w:val="num" w:pos="502"/>
        </w:tabs>
        <w:ind w:left="0"/>
        <w:rPr>
          <w:snapToGrid/>
        </w:rPr>
      </w:pPr>
      <w:r>
        <w:t xml:space="preserve">X-ray imaging procedures make the largest contribution to human exposure to ionising radiation from artificial sources. Radiography (excluding dental radiography) accounts for 63% of all radiological procedures worldwide and 23% of the annual collective effective dose from medical exposures </w:t>
      </w:r>
      <w:r>
        <w:fldChar w:fldCharType="begin"/>
      </w:r>
      <w:r>
        <w:instrText xml:space="preserve"> ADDIN EN.CITE &lt;EndNote&gt;&lt;Cite&gt;&lt;Author&gt;UNSCEAR&lt;/Author&gt;&lt;Year&gt;2022&lt;/Year&gt;&lt;RecNum&gt;7703&lt;/RecNum&gt;&lt;DisplayText&gt;(UNSCEAR, 2022)&lt;/DisplayText&gt;&lt;record&gt;&lt;rec-number&gt;7703&lt;/rec-number&gt;&lt;foreign-keys&gt;&lt;key app="EN" db-id="tewdatv2kswps0ep9wgxe0tjvatvprte2wrd" timestamp="1681400990"&gt;7703&lt;/key&gt;&lt;/foreign-keys&gt;&lt;ref-type name="Book"&gt;6&lt;/ref-type&gt;&lt;contributors&gt;&lt;authors&gt;&lt;author&gt;UNSCEAR&lt;/author&gt;&lt;/authors&gt;&lt;/contributors&gt;&lt;titles&gt;&lt;title&gt;Sources, Effects and Risks of Ionizing Radiation, United Nations Scientific Committee on the Effects of Atomic Radiation (UNSCEAR) 2020/2021 Report, Volume I : Report to the General Assembly, with Scientific Annex A - Evaluation of Medical Exposure to Ionizing Radiation&lt;/title&gt;&lt;/titles&gt;&lt;dates&gt;&lt;year&gt;2022&lt;/year&gt;&lt;/dates&gt;&lt;pub-location&gt;New York&lt;/pub-location&gt;&lt;publisher&gt;United Nations&lt;/publisher&gt;&lt;isbn&gt;9789210010030&lt;/isbn&gt;&lt;call-num&gt;LSE Library&lt;/call-num&gt;&lt;urls&gt;&lt;related-urls&gt;&lt;url&gt;https://librarysearch.lse.ac.uk/openurl/44LSE_INST/44LSE_VU1?u.ignore_date_coverage=true&amp;amp;rft.mms_id=99149238011302021&lt;/url&gt;&lt;url&gt;https://www.un-ilibrary.org/content/books/9789210010030&lt;/url&gt;&lt;/related-urls&gt;&lt;/urls&gt;&lt;remote-database-name&gt;Library Hub Discover&lt;/remote-database-name&gt;&lt;remote-database-provider&gt;Jisc&lt;/remote-database-provider&gt;&lt;language&gt;English&lt;/language&gt;&lt;/record&gt;&lt;/Cite&gt;&lt;/EndNote&gt;</w:instrText>
      </w:r>
      <w:r>
        <w:fldChar w:fldCharType="separate"/>
      </w:r>
      <w:r>
        <w:rPr>
          <w:noProof/>
        </w:rPr>
        <w:t>(UNSCEAR, 2022)</w:t>
      </w:r>
      <w:r>
        <w:fldChar w:fldCharType="end"/>
      </w:r>
      <w:r>
        <w:t>.</w:t>
      </w:r>
    </w:p>
    <w:p w14:paraId="4134AAA7" w14:textId="77777777" w:rsidR="00E72CA9" w:rsidRDefault="00D516E3">
      <w:pPr>
        <w:pStyle w:val="ICRPnumberedparagraph"/>
        <w:tabs>
          <w:tab w:val="clear" w:pos="851"/>
          <w:tab w:val="left" w:pos="709"/>
        </w:tabs>
        <w:ind w:left="0"/>
        <w:rPr>
          <w:snapToGrid w:val="0"/>
          <w:szCs w:val="20"/>
          <w:lang w:eastAsia="sv-SE"/>
        </w:rPr>
      </w:pPr>
      <w:r>
        <w:t xml:space="preserve">All x-ray examinations </w:t>
      </w:r>
      <w:bookmarkStart w:id="28" w:name="_Hlk162292850"/>
      <w:r>
        <w:t xml:space="preserve">may </w:t>
      </w:r>
      <w:bookmarkEnd w:id="28"/>
      <w:r>
        <w:t xml:space="preserve">carry an associated radiation risk that, although not large, must be considered when patients are imaged. The benefits to the patient undergoing a properly justified and optimised radiological procedure should outweigh the risk resulting from the radiation exposure. </w:t>
      </w:r>
      <w:r>
        <w:rPr>
          <w:snapToGrid w:val="0"/>
          <w:szCs w:val="20"/>
          <w:lang w:eastAsia="sv-SE"/>
        </w:rPr>
        <w:t>In medicine, the requirement is to manage the radiation dose to the patient to be commensurate with the medical purpose. The goal is to use the appropriate dose to obtain the desired image or desired therapy</w:t>
      </w:r>
      <w:r>
        <w:rPr>
          <w:snapToGrid w:val="0"/>
          <w:color w:val="4472C4" w:themeColor="accent1"/>
          <w:szCs w:val="20"/>
          <w:lang w:eastAsia="sv-SE"/>
        </w:rPr>
        <w:t>.</w:t>
      </w:r>
      <w:r>
        <w:rPr>
          <w:color w:val="4472C4" w:themeColor="accent1"/>
        </w:rPr>
        <w:t xml:space="preserve"> </w:t>
      </w:r>
      <w:r>
        <w:t xml:space="preserve">Thus, an important component of the justification and optimisation process is the availability of information on the doses that patients are receiving coupled with an understanding of whether these doses are reasonable in the context of the examination being performed </w:t>
      </w:r>
      <w:r>
        <w:fldChar w:fldCharType="begin"/>
      </w:r>
      <w:r>
        <w:instrText xml:space="preserve"> ADDIN EN.CITE &lt;EndNote&gt;&lt;Cite&gt;&lt;Author&gt;ICRP&lt;/Author&gt;&lt;Year&gt;2007&lt;/Year&gt;&lt;RecNum&gt;11807&lt;/RecNum&gt;&lt;DisplayText&gt;(ICRP, 2007a)&lt;/DisplayText&gt;&lt;record&gt;&lt;rec-number&gt;11807&lt;/rec-number&gt;&lt;foreign-keys&gt;&lt;key app="EN" db-id="rss5s0wzrpx9pwe5a0h5a9wkx9sf2zexde9d" timestamp="1612877083"&gt;11807&lt;/key&gt;&lt;/foreign-keys&gt;&lt;ref-type name="Journal Article"&gt;17&lt;/ref-type&gt;&lt;contributors&gt;&lt;authors&gt;&lt;author&gt;ICRP,&lt;/author&gt;&lt;/authors&gt;&lt;secondary-authors&gt;&lt;author&gt;International Commission on Radiological Protection&lt;/author&gt;&lt;/secondary-authors&gt;&lt;/contributors&gt;&lt;titles&gt;&lt;title&gt;Managing patient dose in multi-detector computed tomography (MDCT). ICRP Publication 102&lt;/title&gt;&lt;secondary-title&gt;Annals of the ICRP&lt;/secondary-title&gt;&lt;/titles&gt;&lt;periodical&gt;&lt;full-title&gt;Annals of the ICRP&lt;/full-title&gt;&lt;abbr-1&gt;Ann. ICRP&lt;/abbr-1&gt;&lt;abbr-2&gt;Ann ICRP&lt;/abbr-2&gt;&lt;/periodical&gt;&lt;volume&gt;37&lt;/volume&gt;&lt;number&gt;1&lt;/number&gt;&lt;keywords&gt;&lt;keyword&gt;Image quality&lt;/keyword&gt;&lt;keyword&gt;patient dose&lt;/keyword&gt;&lt;keyword&gt;computed tomography&lt;/keyword&gt;&lt;keyword&gt;radiological protection&lt;/keyword&gt;&lt;keyword&gt;justification&lt;/keyword&gt;&lt;keyword&gt;AEC&lt;/keyword&gt;&lt;/keywords&gt;&lt;dates&gt;&lt;year&gt;2007&lt;/year&gt;&lt;/dates&gt;&lt;pub-location&gt;Oxford, UK&lt;/pub-location&gt;&lt;publisher&gt;Elsevier&lt;/publisher&gt;&lt;orig-pub&gt;Ann. ICRP 37(1)&lt;/orig-pub&gt;&lt;isbn&gt;102&lt;/isbn&gt;&lt;work-type&gt;ICRP Publication&lt;/work-type&gt;&lt;urls&gt;&lt;/urls&gt;&lt;/record&gt;&lt;/Cite&gt;&lt;/EndNote&gt;</w:instrText>
      </w:r>
      <w:r>
        <w:fldChar w:fldCharType="separate"/>
      </w:r>
      <w:r>
        <w:rPr>
          <w:noProof/>
        </w:rPr>
        <w:t>(ICRP, 2007a)</w:t>
      </w:r>
      <w:r>
        <w:fldChar w:fldCharType="end"/>
      </w:r>
      <w:r>
        <w:t>.</w:t>
      </w:r>
    </w:p>
    <w:p w14:paraId="1C838F2E" w14:textId="77777777" w:rsidR="00E72CA9" w:rsidRDefault="00D516E3">
      <w:pPr>
        <w:pStyle w:val="Annalstext"/>
        <w:numPr>
          <w:ilvl w:val="0"/>
          <w:numId w:val="1"/>
        </w:numPr>
        <w:tabs>
          <w:tab w:val="num" w:pos="502"/>
        </w:tabs>
        <w:ind w:left="0"/>
      </w:pPr>
      <w:r>
        <w:t xml:space="preserve">One way to obtain information on patient doses is to use metrics that can be easily measured directly such as kerma-area product (KAP, </w:t>
      </w:r>
      <w:r>
        <w:rPr>
          <w:i/>
          <w:iCs/>
        </w:rPr>
        <w:t>P</w:t>
      </w:r>
      <w:r>
        <w:rPr>
          <w:vertAlign w:val="subscript"/>
        </w:rPr>
        <w:t>KA</w:t>
      </w:r>
      <w:r>
        <w:t xml:space="preserve">). However, there are many occasions in day-to-day practice in which the availability of prior estimates of doses based on simulations of the examination employing human computational phantoms (also referred by many authors as “models”) and computer codes simulating the transport of radiation in different media are useful. Daily decisions for justifying individual patient imaging exposures, or for optimising protection through selecting the most appropriate technique, require approximate estimates of dose that can be used to judge risks to health. Generic values of organ absorbed dose and effective dose provide a straightforward tool with enough information about general radiation exposure levels linked to detriment for the purpose of making these everyday decisions </w:t>
      </w:r>
      <w:r>
        <w:fldChar w:fldCharType="begin"/>
      </w:r>
      <w:r>
        <w:instrText xml:space="preserve"> ADDIN EN.CITE &lt;EndNote&gt;&lt;Cite&gt;&lt;Author&gt;ICRP&lt;/Author&gt;&lt;Year&gt;2021&lt;/Year&gt;&lt;RecNum&gt;11892&lt;/RecNum&gt;&lt;DisplayText&gt;(ICRP, 2021)&lt;/DisplayText&gt;&lt;record&gt;&lt;rec-number&gt;11892&lt;/rec-number&gt;&lt;foreign-keys&gt;&lt;key app="EN" db-id="rss5s0wzrpx9pwe5a0h5a9wkx9sf2zexde9d" timestamp="1614847685"&gt;11892&lt;/key&gt;&lt;/foreign-keys&gt;&lt;ref-type name="Journal Article"&gt;17&lt;/ref-type&gt;&lt;contributors&gt;&lt;authors&gt;&lt;author&gt;ICRP,&lt;/author&gt;&lt;/authors&gt;&lt;/contributors&gt;&lt;titles&gt;&lt;title&gt;Use of Dose Quantities in Radiological Protection. ICRP Publication 147&lt;/title&gt;&lt;secondary-title&gt;Annals of the ICRP&lt;/secondary-title&gt;&lt;/titles&gt;&lt;periodical&gt;&lt;full-title&gt;Annals of the ICRP&lt;/full-title&gt;&lt;abbr-1&gt;Ann. ICRP&lt;/abbr-1&gt;&lt;abbr-2&gt;Ann ICRP&lt;/abbr-2&gt;&lt;/periodical&gt;&lt;volume&gt;50&lt;/volume&gt;&lt;number&gt;1&lt;/number&gt;&lt;keywords&gt;&lt;keyword&gt;Absorbed dose&lt;/keyword&gt;&lt;keyword&gt;Equivalent dose&lt;/keyword&gt;&lt;keyword&gt;Effective dose&lt;/keyword&gt;&lt;keyword&gt;Stochastic risks&lt;/keyword&gt;&lt;keyword&gt;Tissue reactions&lt;/keyword&gt;&lt;keyword&gt;Occupational&lt;/keyword&gt;&lt;keyword&gt;public and medical exposures&lt;/keyword&gt;&lt;/keywords&gt;&lt;dates&gt;&lt;year&gt;2021&lt;/year&gt;&lt;/dates&gt;&lt;accession-num&gt;33653178&lt;/accession-num&gt;&lt;urls&gt;&lt;related-urls&gt;&lt;url&gt;https://journals.sagepub.com/doi/abs/10.1177/0146645320911864&lt;/url&gt;&lt;/related-urls&gt;&lt;/urls&gt;&lt;electronic-resource-num&gt;10.1177/0146645320911864&lt;/electronic-resource-num&gt;&lt;/record&gt;&lt;/Cite&gt;&lt;/EndNote&gt;</w:instrText>
      </w:r>
      <w:r>
        <w:fldChar w:fldCharType="separate"/>
      </w:r>
      <w:r>
        <w:rPr>
          <w:noProof/>
        </w:rPr>
        <w:t>(ICRP, 2021)</w:t>
      </w:r>
      <w:r>
        <w:fldChar w:fldCharType="end"/>
      </w:r>
      <w:r>
        <w:t xml:space="preserve">. One example, as pointed out in </w:t>
      </w:r>
      <w:r>
        <w:rPr>
          <w:i/>
        </w:rPr>
        <w:t>Publication 147</w:t>
      </w:r>
      <w:r>
        <w:t>, is that when two different x-ray imaging modalities are considered, the primary factor determining the choice will be the potential benefit to the patient, but comparison of effective or organ doses can be a secondary factor in guiding a referral test selection. Another example would be the inclusion of effective or organ dose data in the evaluation of the impact of changing a technique factor such as tube potential when updating a protocol. Further examples include the evaluation of the effect of added filtration in paediatric radiology, the investigation of the effect of novel filtration on organ absorbed and effective dose and the use of organ dose data when deciding whether to employ a particular radiographic projection or not.</w:t>
      </w:r>
    </w:p>
    <w:p w14:paraId="7E188843" w14:textId="77777777" w:rsidR="00E72CA9" w:rsidRDefault="00D516E3">
      <w:pPr>
        <w:pStyle w:val="Annalstext"/>
        <w:numPr>
          <w:ilvl w:val="0"/>
          <w:numId w:val="1"/>
        </w:numPr>
        <w:tabs>
          <w:tab w:val="num" w:pos="502"/>
        </w:tabs>
        <w:ind w:left="0"/>
      </w:pPr>
      <w:r>
        <w:t>Unintended exposures of patients in radiographic procedures can be assessed using effective and organ doses derived from simulations employing numerical methods. These can provide sufficient information for the incident investigation and report and inform decisions on requirements for more detailed assessments (ICRP, 2021). A standardised methodology will aid national and international assessments and comparisons of such doses.</w:t>
      </w:r>
    </w:p>
    <w:p w14:paraId="0E306728" w14:textId="77777777" w:rsidR="00E72CA9" w:rsidRDefault="00D516E3">
      <w:pPr>
        <w:pStyle w:val="Annalstext"/>
        <w:numPr>
          <w:ilvl w:val="0"/>
          <w:numId w:val="1"/>
        </w:numPr>
        <w:tabs>
          <w:tab w:val="num" w:pos="502"/>
        </w:tabs>
        <w:ind w:left="0"/>
      </w:pPr>
      <w:r>
        <w:t xml:space="preserve">Variations in representative patient doses resulting from differences in equipment, radiographic technique and other factors existing in different countries can be very instructive in radiation protection practice. However, there are differences of up to 25% in some data which can be traced to the use of different phantoms and dose coefficients </w:t>
      </w:r>
      <w:r>
        <w:fldChar w:fldCharType="begin"/>
      </w:r>
      <w:r>
        <w:instrText xml:space="preserve"> ADDIN EN.CITE &lt;EndNote&gt;&lt;Cite&gt;&lt;Author&gt;ICRP&lt;/Author&gt;&lt;Year&gt;2021&lt;/Year&gt;&lt;RecNum&gt;11892&lt;/RecNum&gt;&lt;DisplayText&gt;(ICRP, 2021)&lt;/DisplayText&gt;&lt;record&gt;&lt;rec-number&gt;11892&lt;/rec-number&gt;&lt;foreign-keys&gt;&lt;key app="EN" db-id="rss5s0wzrpx9pwe5a0h5a9wkx9sf2zexde9d" timestamp="1614847685"&gt;11892&lt;/key&gt;&lt;/foreign-keys&gt;&lt;ref-type name="Journal Article"&gt;17&lt;/ref-type&gt;&lt;contributors&gt;&lt;authors&gt;&lt;author&gt;ICRP,&lt;/author&gt;&lt;/authors&gt;&lt;/contributors&gt;&lt;titles&gt;&lt;title&gt;Use of Dose Quantities in Radiological Protection. ICRP Publication 147&lt;/title&gt;&lt;secondary-title&gt;Annals of the ICRP&lt;/secondary-title&gt;&lt;/titles&gt;&lt;periodical&gt;&lt;full-title&gt;Annals of the ICRP&lt;/full-title&gt;&lt;abbr-1&gt;Ann. ICRP&lt;/abbr-1&gt;&lt;abbr-2&gt;Ann ICRP&lt;/abbr-2&gt;&lt;/periodical&gt;&lt;volume&gt;50&lt;/volume&gt;&lt;number&gt;1&lt;/number&gt;&lt;keywords&gt;&lt;keyword&gt;Absorbed dose&lt;/keyword&gt;&lt;keyword&gt;Equivalent dose&lt;/keyword&gt;&lt;keyword&gt;Effective dose&lt;/keyword&gt;&lt;keyword&gt;Stochastic risks&lt;/keyword&gt;&lt;keyword&gt;Tissue reactions&lt;/keyword&gt;&lt;keyword&gt;Occupational&lt;/keyword&gt;&lt;keyword&gt;public and medical exposures&lt;/keyword&gt;&lt;/keywords&gt;&lt;dates&gt;&lt;year&gt;2021&lt;/year&gt;&lt;/dates&gt;&lt;accession-num&gt;33653178&lt;/accession-num&gt;&lt;urls&gt;&lt;related-urls&gt;&lt;url&gt;https://journals.sagepub.com/doi/abs/10.1177/0146645320911864&lt;/url&gt;&lt;/related-urls&gt;&lt;/urls&gt;&lt;electronic-resource-num&gt;10.1177/0146645320911864&lt;/electronic-resource-num&gt;&lt;/record&gt;&lt;/Cite&gt;&lt;/EndNote&gt;</w:instrText>
      </w:r>
      <w:r>
        <w:fldChar w:fldCharType="separate"/>
      </w:r>
      <w:r>
        <w:rPr>
          <w:noProof/>
        </w:rPr>
        <w:t>(ICRP, 2021)</w:t>
      </w:r>
      <w:r>
        <w:fldChar w:fldCharType="end"/>
      </w:r>
      <w:r>
        <w:t>. Some of the differing methods for calculation of organ and effective doses are described in Paras. 8–13. A standardised methodology for such dose calculations as that offered in the present publication will enable even more meaningful comparisons and learning.</w:t>
      </w:r>
    </w:p>
    <w:p w14:paraId="71F223E6" w14:textId="77777777" w:rsidR="00E72CA9" w:rsidRDefault="00D516E3">
      <w:pPr>
        <w:pStyle w:val="Annalstext"/>
        <w:numPr>
          <w:ilvl w:val="0"/>
          <w:numId w:val="1"/>
        </w:numPr>
        <w:tabs>
          <w:tab w:val="num" w:pos="502"/>
        </w:tabs>
        <w:ind w:left="0"/>
      </w:pPr>
      <w:r>
        <w:t xml:space="preserve">Before a research proposal involving the use of ionising radiation is approved, an evaluation of possible detriment to the individuals involved must be made and recorded </w:t>
      </w:r>
      <w:r>
        <w:fldChar w:fldCharType="begin"/>
      </w:r>
      <w:r>
        <w:instrText xml:space="preserve"> ADDIN EN.CITE &lt;EndNote&gt;&lt;Cite&gt;&lt;Author&gt;ICRP&lt;/Author&gt;&lt;Year&gt;1992&lt;/Year&gt;&lt;RecNum&gt;11788&lt;/RecNum&gt;&lt;DisplayText&gt;(ICRP, 1992)&lt;/DisplayText&gt;&lt;record&gt;&lt;rec-number&gt;11788&lt;/rec-number&gt;&lt;foreign-keys&gt;&lt;key app="EN" db-id="rss5s0wzrpx9pwe5a0h5a9wkx9sf2zexde9d" timestamp="1612868343"&gt;11788&lt;/key&gt;&lt;/foreign-keys&gt;&lt;ref-type name="Report"&gt;27&lt;/ref-type&gt;&lt;contributors&gt;&lt;authors&gt;&lt;author&gt;ICRP,&lt;/author&gt;&lt;/authors&gt;&lt;/contributors&gt;&lt;titles&gt;&lt;title&gt;Radiological Protection in Biomedical Research. &lt;/title&gt;&lt;secondary-title&gt;Annals of the ICRP&lt;/secondary-title&gt;&lt;/titles&gt;&lt;periodical&gt;&lt;full-title&gt;Annals of the ICRP&lt;/full-title&gt;&lt;abbr-1&gt;Ann. ICRP&lt;/abbr-1&gt;&lt;abbr-2&gt;Ann ICRP&lt;/abbr-2&gt;&lt;/periodical&gt;&lt;dates&gt;&lt;year&gt;1992&lt;/year&gt;&lt;/dates&gt;&lt;pub-location&gt;Oxford, UK&lt;/pub-location&gt;&lt;publisher&gt;Pergamon Press&lt;/publisher&gt;&lt;orig-pub&gt;Ann. ICRP 22 (3).&lt;/orig-pub&gt;&lt;isbn&gt;62&lt;/isbn&gt;&lt;work-type&gt;ICRP Publication&lt;/work-type&gt;&lt;urls&gt;&lt;/urls&gt;&lt;/record&gt;&lt;/Cite&gt;&lt;/EndNote&gt;</w:instrText>
      </w:r>
      <w:r>
        <w:fldChar w:fldCharType="separate"/>
      </w:r>
      <w:r>
        <w:rPr>
          <w:noProof/>
        </w:rPr>
        <w:t>(ICRP, 1992)</w:t>
      </w:r>
      <w:r>
        <w:fldChar w:fldCharType="end"/>
      </w:r>
      <w:r>
        <w:t xml:space="preserve">. The availability of a standardised approach to the estimation of patient organ and effective doses will ensure that a consistent approach can be taken to dose estimation, bearing </w:t>
      </w:r>
      <w:r>
        <w:lastRenderedPageBreak/>
        <w:t xml:space="preserve">in mind that when considering potential radiation-related risks in research subjects, allowance should be made for age, sex, and health status. </w:t>
      </w:r>
    </w:p>
    <w:p w14:paraId="71581B7F" w14:textId="77777777" w:rsidR="00E72CA9" w:rsidRDefault="00D516E3">
      <w:pPr>
        <w:pStyle w:val="ICRPnumberedparagraph"/>
        <w:tabs>
          <w:tab w:val="clear" w:pos="851"/>
          <w:tab w:val="clear" w:pos="2062"/>
          <w:tab w:val="clear" w:pos="5322"/>
          <w:tab w:val="num" w:pos="284"/>
          <w:tab w:val="left" w:pos="567"/>
        </w:tabs>
        <w:ind w:left="0"/>
        <w:rPr>
          <w:i/>
          <w:strike/>
        </w:rPr>
      </w:pPr>
      <w:r>
        <w:t xml:space="preserve"> There are increasing demands from patients, families, medical professionals and relevant regulatory agencies to document patient-specific exposures to diagnostic medical imaging procedures. Ethical and professional considerations around accountability, transparency and patient-centredness emphasise the importance of these requirements </w:t>
      </w:r>
      <w:r>
        <w:fldChar w:fldCharType="begin"/>
      </w:r>
      <w:r>
        <w:instrText xml:space="preserve"> ADDIN EN.CITE &lt;EndNote&gt;&lt;Cite&gt;&lt;Author&gt;ICRP&lt;/Author&gt;&lt;Year&gt;2024&lt;/Year&gt;&lt;RecNum&gt;12495&lt;/RecNum&gt;&lt;DisplayText&gt;(ICRP, 2024a)&lt;/DisplayText&gt;&lt;record&gt;&lt;rec-number&gt;12495&lt;/rec-number&gt;&lt;foreign-keys&gt;&lt;key app="EN" db-id="rss5s0wzrpx9pwe5a0h5a9wkx9sf2zexde9d" timestamp="1706011706"&gt;12495&lt;/key&gt;&lt;/foreign-keys&gt;&lt;ref-type name="Journal Article"&gt;17&lt;/ref-type&gt;&lt;contributors&gt;&lt;authors&gt;&lt;author&gt;ICRP&lt;/author&gt;&lt;/authors&gt;&lt;/contributors&gt;&lt;titles&gt;&lt;title&gt;Ethics in Radiological Protection for Patients in Diagnosis and Treatment. ICRP Publication 157&lt;/title&gt;&lt;secondary-title&gt;Annals of the ICRP&lt;/secondary-title&gt;&lt;/titles&gt;&lt;periodical&gt;&lt;full-title&gt;Annals of the ICRP&lt;/full-title&gt;&lt;abbr-1&gt;Ann. ICRP&lt;/abbr-1&gt;&lt;abbr-2&gt;Ann ICRP&lt;/abbr-2&gt;&lt;/periodical&gt;&lt;pages&gt;1-xxx&lt;/pages&gt;&lt;volume&gt;5x&lt;/volume&gt;&lt;number&gt;x&lt;/number&gt;&lt;dates&gt;&lt;year&gt;2024&lt;/year&gt;&lt;/dates&gt;&lt;urls&gt;&lt;/urls&gt;&lt;/record&gt;&lt;/Cite&gt;&lt;/EndNote&gt;</w:instrText>
      </w:r>
      <w:r>
        <w:fldChar w:fldCharType="separate"/>
      </w:r>
      <w:r>
        <w:rPr>
          <w:noProof/>
        </w:rPr>
        <w:t>(ICRP, 2024a)</w:t>
      </w:r>
      <w:r>
        <w:fldChar w:fldCharType="end"/>
      </w:r>
      <w:r>
        <w:t xml:space="preserve">. As a result, various tables and software tools have been developed by various authors which are built upon extensive libraries of pre-calculated dose coefficients obtained using computational phantoms and Monte Carlo radiation transport codes. </w:t>
      </w:r>
    </w:p>
    <w:p w14:paraId="5C23DB89" w14:textId="77777777" w:rsidR="00E72CA9" w:rsidRDefault="00D516E3">
      <w:pPr>
        <w:pStyle w:val="ICRPnumberedparagraph"/>
        <w:tabs>
          <w:tab w:val="clear" w:pos="851"/>
          <w:tab w:val="left" w:pos="567"/>
        </w:tabs>
        <w:ind w:left="0"/>
        <w:rPr>
          <w:strike/>
        </w:rPr>
      </w:pPr>
      <w:r>
        <w:t xml:space="preserve"> Coefficients between absorbed or equivalent dose to organs at risk and measurable quantities commonly used in x-ray radiographic diagnosis have been calculated employing Monte Carlo methods since the 1980s, mainly in conjunction with mathematical MIRD-type phantoms initially developed at the </w:t>
      </w:r>
      <w:r>
        <w:rPr>
          <w:rStyle w:val="hgkelc"/>
          <w:bCs/>
          <w:lang w:val="en"/>
        </w:rPr>
        <w:t>Medical Internal Radiation Dose</w:t>
      </w:r>
      <w:r>
        <w:rPr>
          <w:rStyle w:val="hgkelc"/>
          <w:lang w:val="en"/>
        </w:rPr>
        <w:t xml:space="preserve"> (MIRD) Committee of the Society of Nuclear Medicine in the United States</w:t>
      </w:r>
      <w:r>
        <w:t xml:space="preserve">. In the middle of the 1970s, Rosenstein </w:t>
      </w:r>
      <w:r>
        <w:fldChar w:fldCharType="begin"/>
      </w:r>
      <w:r>
        <w:instrText xml:space="preserve"> ADDIN EN.CITE &lt;EndNote&gt;&lt;Cite ExcludeAuth="1"&gt;&lt;Author&gt;Rosenstein&lt;/Author&gt;&lt;Year&gt;1976&lt;/Year&gt;&lt;RecNum&gt;2935&lt;/RecNum&gt;&lt;DisplayText&gt;(1976)&lt;/DisplayText&gt;&lt;record&gt;&lt;rec-number&gt;2935&lt;/rec-number&gt;&lt;foreign-keys&gt;&lt;key app="EN" db-id="rss5s0wzrpx9pwe5a0h5a9wkx9sf2zexde9d" timestamp="0"&gt;2935&lt;/key&gt;&lt;/foreign-keys&gt;&lt;ref-type name="Report"&gt;27&lt;/ref-type&gt;&lt;contributors&gt;&lt;authors&gt;&lt;author&gt;Rosenstein, M.&lt;/author&gt;&lt;/authors&gt;&lt;/contributors&gt;&lt;titles&gt;&lt;title&gt;Organ doses in diagnostic radiology&lt;/title&gt;&lt;/titles&gt;&lt;dates&gt;&lt;year&gt;1976&lt;/year&gt;&lt;/dates&gt;&lt;pub-location&gt;Rockville, MD&lt;/pub-location&gt;&lt;publisher&gt;Bureau of Radiological Health&lt;/publisher&gt;&lt;isbn&gt;76-8030&lt;/isbn&gt;&lt;work-type&gt;HEW Publication (FDA)&lt;/work-type&gt;&lt;urls&gt;&lt;/urls&gt;&lt;/record&gt;&lt;/Cite&gt;&lt;/EndNote&gt;</w:instrText>
      </w:r>
      <w:r>
        <w:fldChar w:fldCharType="separate"/>
      </w:r>
      <w:r>
        <w:rPr>
          <w:noProof/>
        </w:rPr>
        <w:t>(1976)</w:t>
      </w:r>
      <w:r>
        <w:fldChar w:fldCharType="end"/>
      </w:r>
      <w:r>
        <w:t xml:space="preserve"> first published tabulations of organ doses in the MIRD phantom </w:t>
      </w:r>
      <w:r>
        <w:fldChar w:fldCharType="begin"/>
      </w:r>
      <w:r>
        <w:instrText xml:space="preserve"> ADDIN EN.CITE &lt;EndNote&gt;&lt;Cite&gt;&lt;Author&gt;Snyder&lt;/Author&gt;&lt;Year&gt;1969&lt;/Year&gt;&lt;RecNum&gt;1871&lt;/RecNum&gt;&lt;DisplayText&gt;(Snyder et al., 1969)&lt;/DisplayText&gt;&lt;record&gt;&lt;rec-number&gt;1871&lt;/rec-number&gt;&lt;foreign-keys&gt;&lt;key app="EN" db-id="rss5s0wzrpx9pwe5a0h5a9wkx9sf2zexde9d" timestamp="0"&gt;1871&lt;/key&gt;&lt;/foreign-keys&gt;&lt;ref-type name="Journal Article"&gt;17&lt;/ref-type&gt;&lt;contributors&gt;&lt;authors&gt;&lt;author&gt;Snyder, W.S.&lt;/author&gt;&lt;author&gt;Ford, M.R.&lt;/author&gt;&lt;author&gt;Warner, G.G.&lt;/author&gt;&lt;author&gt;Fisher, H.L.&lt;/author&gt;&lt;/authors&gt;&lt;/contributors&gt;&lt;titles&gt;&lt;title&gt;Estimates of absorbed fractions for monoenergetic photon sources uniformly distributed in various organs of a heterogeneous phantom. Medical Internal Radiation Dose Committee (MIRD). Pamphlet No. 5&lt;/title&gt;&lt;secondary-title&gt;Journal of Nuclear Medicine&lt;/secondary-title&gt;&lt;/titles&gt;&lt;periodical&gt;&lt;full-title&gt;Journal of Nuclear Medicine&lt;/full-title&gt;&lt;abbr-1&gt;J. Nucl. Med.&lt;/abbr-1&gt;&lt;abbr-2&gt;J Nucl Med&lt;/abbr-2&gt;&lt;/periodical&gt;&lt;volume&gt;10&lt;/volume&gt;&lt;number&gt;Supplement No. 3&lt;/number&gt;&lt;dates&gt;&lt;year&gt;1969&lt;/year&gt;&lt;/dates&gt;&lt;urls&gt;&lt;related-urls&gt;&lt;url&gt;D:\WINWORD\ARTIKEL\Proceedings in Journals\Oxford2002Za.doc&lt;/url&gt;&lt;/related-urls&gt;&lt;/urls&gt;&lt;/record&gt;&lt;/Cite&gt;&lt;/EndNote&gt;</w:instrText>
      </w:r>
      <w:r>
        <w:fldChar w:fldCharType="separate"/>
      </w:r>
      <w:r>
        <w:rPr>
          <w:noProof/>
        </w:rPr>
        <w:t>(Snyder et al., 1969)</w:t>
      </w:r>
      <w:r>
        <w:fldChar w:fldCharType="end"/>
      </w:r>
      <w:r>
        <w:t xml:space="preserve"> for diagnostic radiography. Since then, compilations of organ and effective dose coefficients for the most common (and some other) examinations have been published using the Cristy and Eckerman </w:t>
      </w:r>
      <w:r>
        <w:fldChar w:fldCharType="begin"/>
      </w:r>
      <w:r>
        <w:instrText xml:space="preserve"> ADDIN EN.CITE &lt;EndNote&gt;&lt;Cite ExcludeAuth="1"&gt;&lt;Author&gt;Cristy&lt;/Author&gt;&lt;Year&gt;1987&lt;/Year&gt;&lt;RecNum&gt;9411&lt;/RecNum&gt;&lt;DisplayText&gt;(1987)&lt;/DisplayText&gt;&lt;record&gt;&lt;rec-number&gt;9411&lt;/rec-number&gt;&lt;foreign-keys&gt;&lt;key app="EN" db-id="rss5s0wzrpx9pwe5a0h5a9wkx9sf2zexde9d" timestamp="1395145430"&gt;9411&lt;/key&gt;&lt;/foreign-keys&gt;&lt;ref-type name="Report"&gt;27&lt;/ref-type&gt;&lt;contributors&gt;&lt;authors&gt;&lt;author&gt;Cristy, M.&lt;/author&gt;&lt;author&gt;Eckerman, K.F.&lt;/author&gt;&lt;/authors&gt;&lt;/contributors&gt;&lt;titles&gt;&lt;title&gt;Specific absorbed fractions of energy at various ages from internal photon sources, Part I-VII&lt;/title&gt;&lt;/titles&gt;&lt;dates&gt;&lt;year&gt;1987&lt;/year&gt;&lt;/dates&gt;&lt;pub-location&gt;Oak Ridge, TN&lt;/pub-location&gt;&lt;publisher&gt;Oak Ridge National Laboratory&lt;/publisher&gt;&lt;isbn&gt;TM-8381/V1-TM-8381/V7&lt;/isbn&gt;&lt;work-type&gt;ORNL Report&lt;/work-type&gt;&lt;urls&gt;&lt;/urls&gt;&lt;/record&gt;&lt;/Cite&gt;&lt;/EndNote&gt;</w:instrText>
      </w:r>
      <w:r>
        <w:fldChar w:fldCharType="separate"/>
      </w:r>
      <w:r>
        <w:rPr>
          <w:noProof/>
        </w:rPr>
        <w:t>(1987)</w:t>
      </w:r>
      <w:r>
        <w:fldChar w:fldCharType="end"/>
      </w:r>
      <w:r>
        <w:t xml:space="preserve"> MIRD-type phantoms of adults and children, the latter </w:t>
      </w:r>
      <w:r>
        <w:rPr>
          <w:rStyle w:val="normaltextrun"/>
        </w:rPr>
        <w:t>derived to represent infants and children of various ages</w:t>
      </w:r>
      <w:r>
        <w:t xml:space="preserve">, all hermaphrodite, and the sex-specific ADAM and EVA adult phantoms </w:t>
      </w:r>
      <w:r>
        <w:fldChar w:fldCharType="begin"/>
      </w:r>
      <w:r>
        <w:instrText xml:space="preserve"> ADDIN EN.CITE &lt;EndNote&gt;&lt;Cite&gt;&lt;Author&gt;Kramer&lt;/Author&gt;&lt;Year&gt;1982&lt;/Year&gt;&lt;RecNum&gt;2906&lt;/RecNum&gt;&lt;DisplayText&gt;(Kramer et al., 1982)&lt;/DisplayText&gt;&lt;record&gt;&lt;rec-number&gt;2906&lt;/rec-number&gt;&lt;foreign-keys&gt;&lt;key app="EN" db-id="rss5s0wzrpx9pwe5a0h5a9wkx9sf2zexde9d" timestamp="0"&gt;2906&lt;/key&gt;&lt;/foreign-keys&gt;&lt;ref-type name="Report"&gt;27&lt;/ref-type&gt;&lt;contributors&gt;&lt;authors&gt;&lt;author&gt;Kramer, R.&lt;/author&gt;&lt;author&gt;Zankl, M.&lt;/author&gt;&lt;author&gt;Williams, G.&lt;/author&gt;&lt;author&gt;Drexler, G.&lt;/author&gt;&lt;/authors&gt;&lt;/contributors&gt;&lt;titles&gt;&lt;title&gt;The calculation of dose from external photon exposures using reference human phantoms and Monte Carlo methods, Part I: The male (Adam) and female (Eva) adult mathematical phantoms&lt;/title&gt;&lt;/titles&gt;&lt;dates&gt;&lt;year&gt;1982&lt;/year&gt;&lt;/dates&gt;&lt;pub-location&gt;Neuherberg, Germany&lt;/pub-location&gt;&lt;publisher&gt;GSF - National Research Center for Environment and Health&lt;/publisher&gt;&lt;isbn&gt;S-885&lt;/isbn&gt;&lt;work-type&gt;GSF-Report&lt;/work-type&gt;&lt;urls&gt;&lt;/urls&gt;&lt;/record&gt;&lt;/Cite&gt;&lt;/EndNote&gt;</w:instrText>
      </w:r>
      <w:r>
        <w:fldChar w:fldCharType="separate"/>
      </w:r>
      <w:r>
        <w:rPr>
          <w:noProof/>
        </w:rPr>
        <w:t>(Kramer et al., 1982)</w:t>
      </w:r>
      <w:r>
        <w:fldChar w:fldCharType="end"/>
      </w:r>
      <w:r>
        <w:t xml:space="preserve">. </w:t>
      </w:r>
      <w:r>
        <w:rPr>
          <w:rStyle w:val="normaltextrun"/>
        </w:rPr>
        <w:t xml:space="preserve">For these phantoms, the organ masses and volumes conformed with the ICRP data of the former Reference Man </w:t>
      </w:r>
      <w:r>
        <w:rPr>
          <w:rStyle w:val="normaltextrun"/>
        </w:rPr>
        <w:fldChar w:fldCharType="begin"/>
      </w:r>
      <w:r>
        <w:rPr>
          <w:rStyle w:val="normaltextrun"/>
        </w:rPr>
        <w:instrText xml:space="preserve"> ADDIN EN.CITE &lt;EndNote&gt;&lt;Cite&gt;&lt;Author&gt;ICRP&lt;/Author&gt;&lt;Year&gt;1975&lt;/Year&gt;&lt;RecNum&gt;2945&lt;/RecNum&gt;&lt;DisplayText&gt;(ICRP, 1975)&lt;/DisplayText&gt;&lt;record&gt;&lt;rec-number&gt;2945&lt;/rec-number&gt;&lt;foreign-keys&gt;&lt;key app="EN" db-id="rss5s0wzrpx9pwe5a0h5a9wkx9sf2zexde9d" timestamp="0"&gt;2945&lt;/key&gt;&lt;/foreign-keys&gt;&lt;ref-type name="Report"&gt;27&lt;/ref-type&gt;&lt;contributors&gt;&lt;authors&gt;&lt;author&gt;ICRP&lt;/author&gt;&lt;/authors&gt;&lt;/contributors&gt;&lt;titles&gt;&lt;title&gt;Reference man: Anatomical, physiological and metabolic characteristics&lt;/title&gt;&lt;secondary-title&gt;ICRP Publication 23&lt;/secondary-title&gt;&lt;/titles&gt;&lt;dates&gt;&lt;year&gt;1975&lt;/year&gt;&lt;/dates&gt;&lt;pub-location&gt;Oxford, UK&lt;/pub-location&gt;&lt;publisher&gt;Pergamon Press&lt;/publisher&gt;&lt;isbn&gt;23&lt;/isbn&gt;&lt;work-type&gt;ICRP Publication&lt;/work-type&gt;&lt;urls&gt;&lt;/urls&gt;&lt;/record&gt;&lt;/Cite&gt;&lt;/EndNote&gt;</w:instrText>
      </w:r>
      <w:r>
        <w:rPr>
          <w:rStyle w:val="normaltextrun"/>
        </w:rPr>
        <w:fldChar w:fldCharType="separate"/>
      </w:r>
      <w:r>
        <w:rPr>
          <w:rStyle w:val="normaltextrun"/>
          <w:noProof/>
        </w:rPr>
        <w:t>(ICRP, 1975)</w:t>
      </w:r>
      <w:r>
        <w:rPr>
          <w:rStyle w:val="normaltextrun"/>
        </w:rPr>
        <w:fldChar w:fldCharType="end"/>
      </w:r>
      <w:r>
        <w:rPr>
          <w:rStyle w:val="normaltextrun"/>
        </w:rPr>
        <w:t>.</w:t>
      </w:r>
      <w:r>
        <w:t xml:space="preserve"> These dose coefficients relate the quantities of interest to measurable quantities, such as incident air kerma, entrance air kerma on the surface of the patient or kerma-area product. </w:t>
      </w:r>
    </w:p>
    <w:p w14:paraId="66A9EF1C" w14:textId="77777777" w:rsidR="00E72CA9" w:rsidRDefault="00D516E3">
      <w:pPr>
        <w:pStyle w:val="ICRPnumberedparagraph"/>
        <w:tabs>
          <w:tab w:val="clear" w:pos="851"/>
          <w:tab w:val="left" w:pos="567"/>
        </w:tabs>
        <w:ind w:left="0"/>
        <w:rPr>
          <w:strike/>
          <w:lang w:val="de-DE"/>
        </w:rPr>
      </w:pPr>
      <w:r>
        <w:t xml:space="preserve"> Examples of published coefficients relating to radiography include those reported in Jones and Wall </w:t>
      </w:r>
      <w:r>
        <w:fldChar w:fldCharType="begin"/>
      </w:r>
      <w:r>
        <w:instrText xml:space="preserve"> ADDIN EN.CITE &lt;EndNote&gt;&lt;Cite ExcludeAuth="1"&gt;&lt;Author&gt;Jones&lt;/Author&gt;&lt;Year&gt;1985&lt;/Year&gt;&lt;RecNum&gt;3016&lt;/RecNum&gt;&lt;DisplayText&gt;(1985)&lt;/DisplayText&gt;&lt;record&gt;&lt;rec-number&gt;3016&lt;/rec-number&gt;&lt;foreign-keys&gt;&lt;key app="EN" db-id="rss5s0wzrpx9pwe5a0h5a9wkx9sf2zexde9d" timestamp="0"&gt;3016&lt;/key&gt;&lt;/foreign-keys&gt;&lt;ref-type name="Report"&gt;27&lt;/ref-type&gt;&lt;contributors&gt;&lt;authors&gt;&lt;author&gt;Jones, D.G.&lt;/author&gt;&lt;author&gt;Wall, B.F.&lt;/author&gt;&lt;/authors&gt;&lt;/contributors&gt;&lt;titles&gt;&lt;title&gt;Organ doses from medical x-ray examinations calculated using Monte Carlo techniques&lt;/title&gt;&lt;/titles&gt;&lt;dates&gt;&lt;year&gt;1985&lt;/year&gt;&lt;/dates&gt;&lt;pub-location&gt;Chilton, Didcot, Oxon, UK&lt;/pub-location&gt;&lt;publisher&gt;National Radiological Protection Board&lt;/publisher&gt;&lt;isbn&gt;186&lt;/isbn&gt;&lt;work-type&gt;NRPB Report&lt;/work-type&gt;&lt;urls&gt;&lt;/urls&gt;&lt;/record&gt;&lt;/Cite&gt;&lt;/EndNote&gt;</w:instrText>
      </w:r>
      <w:r>
        <w:fldChar w:fldCharType="separate"/>
      </w:r>
      <w:r>
        <w:rPr>
          <w:noProof/>
        </w:rPr>
        <w:t>(1985)</w:t>
      </w:r>
      <w:r>
        <w:fldChar w:fldCharType="end"/>
      </w:r>
      <w:r>
        <w:t xml:space="preserve">, Rosenstein et al. </w:t>
      </w:r>
      <w:r>
        <w:fldChar w:fldCharType="begin"/>
      </w:r>
      <w:r>
        <w:instrText xml:space="preserve"> ADDIN E</w:instrText>
      </w:r>
      <w:r>
        <w:rPr>
          <w:lang w:val="de-DE"/>
        </w:rPr>
        <w:instrText>N.CITE &lt;EndNote&gt;&lt;Cite&gt;&lt;Author&gt;Rosenstein&lt;/Author&gt;&lt;Year&gt;1979&lt;/Year&gt;&lt;RecNum&gt;2936&lt;/RecNum&gt;&lt;DisplayText&gt;(Rosenstein et al., 1979; Rosenstein, 1988)&lt;/DisplayText&gt;&lt;record&gt;&lt;rec-number&gt;2936&lt;/rec-number&gt;&lt;foreign-keys&gt;&lt;key app="EN" db-id="rss5s0wzrpx9pwe5a0h5a9wkx9sf2zexde9d" timestamp="0"&gt;2936&lt;/key&gt;&lt;/foreign-keys&gt;&lt;ref-type name="Report"&gt;27&lt;/ref-type&gt;&lt;contributors&gt;&lt;authors&gt;&lt;author&gt;Rosenstein, M.&lt;/author&gt;&lt;author&gt;Beck, T.J.&lt;/author&gt;&lt;author&gt;Warner, G.G.&lt;/author&gt;&lt;/authors&gt;&lt;/contributors&gt;&lt;titles&gt;&lt;title&gt;Handbook of selected organ doses from projections common in paediatric radiology&lt;/title&gt;&lt;/titles&gt;&lt;dates&gt;&lt;year&gt;1979&lt;/year&gt;&lt;/dates&gt;&lt;pub-location&gt;Rockville, MD&lt;/pub-location&gt;&lt;publisher&gt;Bureau of Radiological Health&lt;/publisher&gt;&lt;isbn&gt;79-8079&lt;/isbn&gt;&lt;work-type&gt;HEW Publication (FDA)&lt;/work-type&gt;&lt;urls&gt;&lt;/urls&gt;&lt;/record&gt;&lt;/Cite&gt;&lt;Cite&gt;&lt;Author&gt;Rosenstein&lt;/Author&gt;&lt;Year&gt;1988&lt;/Year&gt;&lt;RecNum&gt;2938&lt;/RecNum&gt;&lt;record&gt;&lt;rec-number&gt;2938&lt;/rec-number&gt;&lt;foreign-keys&gt;&lt;key app="EN" db-id="rss5s0wzrpx9pwe5a0h5a9wkx9sf2zexde9d" timestamp="0"&gt;2938&lt;/key&gt;&lt;/foreign-keys&gt;&lt;ref-type name="Report"&gt;27&lt;/ref-type&gt;&lt;contributors&gt;&lt;authors&gt;&lt;author&gt;Rosenstein, M.&lt;/author&gt;&lt;/authors&gt;&lt;/contributors&gt;&lt;titles&gt;&lt;title&gt;Handbook of selected tissue doses for projections common in diagnostic radiology&lt;/title&gt;&lt;/titles&gt;&lt;dates&gt;&lt;year&gt;1988&lt;/year&gt;&lt;/dates&gt;&lt;pub-location&gt;Rockville, MD&lt;/pub-location&gt;&lt;publisher&gt;Center for Devices and Radiological Health&lt;/publisher&gt;&lt;isbn&gt;89-8031&lt;/isbn&gt;&lt;work-type&gt;HHS Publication (FDA)&lt;/work-type&gt;&lt;urls&gt;&lt;/urls&gt;&lt;/record&gt;&lt;/Cite&gt;&lt;/EndNote&gt;</w:instrText>
      </w:r>
      <w:r>
        <w:fldChar w:fldCharType="separate"/>
      </w:r>
      <w:r>
        <w:rPr>
          <w:noProof/>
          <w:lang w:val="de-DE"/>
        </w:rPr>
        <w:t>(Rosenstein et al., 1979; Rosenstein, 1988)</w:t>
      </w:r>
      <w:r>
        <w:fldChar w:fldCharType="end"/>
      </w:r>
      <w:r>
        <w:rPr>
          <w:lang w:val="de-DE"/>
        </w:rPr>
        <w:t xml:space="preserve">, Drexler et al. </w:t>
      </w:r>
      <w:r>
        <w:fldChar w:fldCharType="begin">
          <w:fldData xml:space="preserve">PEVuZE5vdGU+PENpdGU+PEF1dGhvcj5EcmV4bGVyPC9BdXRob3I+PFllYXI+MTk5MDwvWWVhcj48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</w:fldData>
        </w:fldChar>
      </w:r>
      <w:r>
        <w:rPr>
          <w:lang w:val="de-DE"/>
        </w:rPr>
        <w:instrText xml:space="preserve"> ADDIN EN.CITE </w:instrText>
      </w:r>
      <w:r>
        <w:fldChar w:fldCharType="begin">
          <w:fldData xml:space="preserve">PEVuZE5vdGU+PENpdGU+PEF1dGhvcj5EcmV4bGVyPC9BdXRob3I+PFllYXI+MTk5MDwvWWVhcj48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</w:fldData>
        </w:fldChar>
      </w:r>
      <w:r>
        <w:rPr>
          <w:lang w:val="de-DE"/>
        </w:rPr>
        <w:instrText xml:space="preserve"> ADDIN EN.CITE.DATA </w:instrText>
      </w:r>
      <w:r>
        <w:fldChar w:fldCharType="end"/>
      </w:r>
      <w:r>
        <w:fldChar w:fldCharType="separate"/>
      </w:r>
      <w:r>
        <w:rPr>
          <w:noProof/>
          <w:lang w:val="de-DE"/>
        </w:rPr>
        <w:t>(Drexler et al., 1985, 1990; Drexler et al., 1993)</w:t>
      </w:r>
      <w:r>
        <w:fldChar w:fldCharType="end"/>
      </w:r>
      <w:r>
        <w:rPr>
          <w:lang w:val="de-DE"/>
        </w:rPr>
        <w:t xml:space="preserve">, Le Heron </w:t>
      </w:r>
      <w:r>
        <w:fldChar w:fldCharType="begin"/>
      </w:r>
      <w:r>
        <w:rPr>
          <w:lang w:val="de-DE"/>
        </w:rPr>
        <w:instrText xml:space="preserve"> ADDIN EN.CITE &lt;EndNote&gt;&lt;Cite ExcludeAuth="1"&gt;&lt;Author&gt;Le Heron&lt;/Author&gt;&lt;Year&gt;1992&lt;/Year&gt;&lt;RecNum&gt;2580&lt;/RecNum&gt;&lt;DisplayText&gt;(1992)&lt;/DisplayText&gt;&lt;record&gt;&lt;rec-number&gt;2580&lt;/rec-number&gt;&lt;foreign-keys&gt;&lt;key app="EN" db-id="rss5s0wzrpx9pwe5a0h5a9wkx9sf2zexde9d" timestamp="0"&gt;2580&lt;/key&gt;&lt;/foreign-keys&gt;&lt;ref-type name="Journal Article"&gt;17&lt;/ref-type&gt;&lt;contributors&gt;&lt;authors&gt;&lt;author&gt;Le Heron, J.C.&lt;/author&gt;&lt;/authors&gt;&lt;/contributors&gt;&lt;titles&gt;&lt;title&gt;Effective dose in diagnostic radiology&lt;/title&gt;&lt;secondary-title&gt;Journal of Radiological Protection&lt;/secondary-title&gt;&lt;/titles&gt;&lt;periodical&gt;&lt;full-title&gt;Journal of Radiological Protection&lt;/full-title&gt;&lt;abbr-1&gt;Journal of Radiological Protection&lt;/abbr-1&gt;&lt;/periodical&gt;&lt;pages&gt;111-114&lt;/pages&gt;&lt;volume&gt;12&lt;/volume&gt;&lt;dates&gt;&lt;year&gt;1992&lt;/year&gt;&lt;/dates&gt;&lt;urls&gt;&lt;/urls&gt;&lt;/record&gt;&lt;/Cite&gt;&lt;/EndNote&gt;</w:instrText>
      </w:r>
      <w:r>
        <w:fldChar w:fldCharType="separate"/>
      </w:r>
      <w:r>
        <w:rPr>
          <w:noProof/>
          <w:lang w:val="de-DE"/>
        </w:rPr>
        <w:t>(1992)</w:t>
      </w:r>
      <w:r>
        <w:fldChar w:fldCharType="end"/>
      </w:r>
      <w:r>
        <w:rPr>
          <w:lang w:val="de-DE"/>
        </w:rPr>
        <w:t xml:space="preserve">, Hart et al. </w:t>
      </w:r>
      <w:r>
        <w:fldChar w:fldCharType="begin">
          <w:fldData xml:space="preserve">PEVuZE5vdGU+PENpdGU+PEF1dGhvcj5IYXJ0PC9BdXRob3I+PFllYXI+MTk5NjwvWWVhcj48UmVj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</w:fldData>
        </w:fldChar>
      </w:r>
      <w:r>
        <w:rPr>
          <w:lang w:val="de-DE"/>
        </w:rPr>
        <w:instrText xml:space="preserve"> ADDIN EN.CITE </w:instrText>
      </w:r>
      <w:r>
        <w:fldChar w:fldCharType="begin">
          <w:fldData xml:space="preserve">PEVuZE5vdGU+PENpdGU+PEF1dGhvcj5IYXJ0PC9BdXRob3I+PFllYXI+MTk5NjwvWWVhcj48UmVj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</w:fldData>
        </w:fldChar>
      </w:r>
      <w:r>
        <w:rPr>
          <w:lang w:val="de-DE"/>
        </w:rPr>
        <w:instrText xml:space="preserve"> ADDIN EN.CITE.DATA </w:instrText>
      </w:r>
      <w:r>
        <w:fldChar w:fldCharType="end"/>
      </w:r>
      <w:r>
        <w:fldChar w:fldCharType="separate"/>
      </w:r>
      <w:r>
        <w:rPr>
          <w:noProof/>
          <w:lang w:val="de-DE"/>
        </w:rPr>
        <w:t>(Hart et al., 1994b, 1996a, b)</w:t>
      </w:r>
      <w:r>
        <w:fldChar w:fldCharType="end"/>
      </w:r>
      <w:r>
        <w:rPr>
          <w:lang w:val="de-DE"/>
        </w:rPr>
        <w:t xml:space="preserve">, Schultz et al. </w:t>
      </w:r>
      <w:r>
        <w:rPr>
          <w:lang w:val="de-DE"/>
        </w:rPr>
        <w:fldChar w:fldCharType="begin"/>
      </w:r>
      <w:r>
        <w:rPr>
          <w:lang w:val="de-DE"/>
        </w:rPr>
        <w:instrText xml:space="preserve"> ADDIN EN.CITE &lt;EndNote&gt;&lt;Cite ExcludeAuth="1"&gt;&lt;Author&gt;Schultz&lt;/Author&gt;&lt;Year&gt;1994&lt;/Year&gt;&lt;RecNum&gt;12465&lt;/RecNum&gt;&lt;DisplayText&gt;(1994)&lt;/DisplayText&gt;&lt;record&gt;&lt;rec-number&gt;12465&lt;/rec-number&gt;&lt;foreign-keys&gt;&lt;key app="EN" db-id="rss5s0wzrpx9pwe5a0h5a9wkx9sf2zexde9d" timestamp="1685987738"&gt;12465&lt;/key&gt;&lt;/foreign-keys&gt;&lt;ref-type name="Journal Article"&gt;17&lt;/ref-type&gt;&lt;contributors&gt;&lt;authors&gt;&lt;author&gt;Schultz, F. W.&lt;/author&gt;&lt;author&gt;Geleijns, J.&lt;/author&gt;&lt;author&gt;Zoetelief, J.&lt;/author&gt;&lt;/authors&gt;&lt;/contributors&gt;&lt;auth-address&gt;Department of Experimental Dosimetry, Rijswijk, The Netherlands.&lt;/auth-address&gt;&lt;titles&gt;&lt;title&gt;Calculation of dose conversion factors for posterior-anterior chest radiography of adults with a relatively high-energy X-ray spectrum&lt;/title&gt;&lt;secondary-title&gt;Br J Radiol&lt;/secondary-title&gt;&lt;/titles&gt;&lt;periodical&gt;&lt;full-title&gt;British Journal of Radiology&lt;/full-title&gt;&lt;abbr-1&gt;Br. J. Radiol.&lt;/abbr-1&gt;&lt;abbr-2&gt;Br J Radiol&lt;/abbr-2&gt;&lt;/periodical&gt;&lt;pages&gt;775-85&lt;/pages&gt;&lt;volume&gt;67&lt;/volume&gt;&lt;number&gt;800&lt;/number&gt;&lt;keywords&gt;&lt;keyword&gt;Adult&lt;/keyword&gt;&lt;keyword&gt;*Computer Simulation&lt;/keyword&gt;&lt;keyword&gt;Female&lt;/keyword&gt;&lt;keyword&gt;Humans&lt;/keyword&gt;&lt;keyword&gt;Male&lt;/keyword&gt;&lt;keyword&gt;Manikins&lt;/keyword&gt;&lt;keyword&gt;Radiation Dosage&lt;/keyword&gt;&lt;keyword&gt;*Radiography, Thoracic&lt;/keyword&gt;&lt;keyword&gt;Scattering, Radiation&lt;/keyword&gt;&lt;/keywords&gt;&lt;dates&gt;&lt;year&gt;1994&lt;/year&gt;&lt;pub-dates&gt;&lt;date&gt;Aug&lt;/date&gt;&lt;/pub-dates&gt;&lt;/dates&gt;&lt;isbn&gt;0007-1285 (Print)&amp;#xD;0007-1285&lt;/isbn&gt;&lt;accession-num&gt;8087483&lt;/accession-num&gt;&lt;urls&gt;&lt;/urls&gt;&lt;electronic-resource-num&gt;10.1259/0007-1285-67-800-775&lt;/electronic-resource-num&gt;&lt;remote-database-provider&gt;NLM&lt;/remote-database-provider&gt;&lt;language&gt;eng&lt;/language&gt;&lt;/record&gt;&lt;/Cite&gt;&lt;/EndNote&gt;</w:instrText>
      </w:r>
      <w:r>
        <w:rPr>
          <w:lang w:val="de-DE"/>
        </w:rPr>
        <w:fldChar w:fldCharType="separate"/>
      </w:r>
      <w:r>
        <w:rPr>
          <w:noProof/>
          <w:lang w:val="de-DE"/>
        </w:rPr>
        <w:t>(1994)</w:t>
      </w:r>
      <w:r>
        <w:rPr>
          <w:lang w:val="de-DE"/>
        </w:rPr>
        <w:fldChar w:fldCharType="end"/>
      </w:r>
      <w:r>
        <w:rPr>
          <w:lang w:val="de-DE"/>
        </w:rPr>
        <w:t xml:space="preserve">, and Petoussi-Henss et al. </w:t>
      </w:r>
      <w:r>
        <w:rPr>
          <w:lang w:val="de-DE"/>
        </w:rPr>
        <w:fldChar w:fldCharType="begin"/>
      </w:r>
      <w:r>
        <w:rPr>
          <w:lang w:val="de-DE"/>
        </w:rPr>
        <w:instrText xml:space="preserve"> ADDIN EN.CITE &lt;EndNote&gt;&lt;Cite ExcludeAuth="1"&gt;&lt;Author&gt;Petoussi-Henss&lt;/Author&gt;&lt;Year&gt;1995&lt;/Year&gt;&lt;RecNum&gt;2204&lt;/RecNum&gt;&lt;DisplayText&gt;(1995)&lt;/DisplayText&gt;&lt;record&gt;&lt;rec-number&gt;2204&lt;/rec-number&gt;&lt;foreign-keys&gt;&lt;key app="EN" db-id="rss5s0wzrpx9pwe5a0h5a9wkx9sf2zexde9d" timestamp="0"&gt;2204&lt;/key&gt;&lt;/foreign-keys&gt;&lt;ref-type name="Journal Article"&gt;17&lt;/ref-type&gt;&lt;contributors&gt;&lt;authors&gt;&lt;author&gt;Petoussi-Henss, N.&lt;/author&gt;&lt;author&gt;Panzer, W.&lt;/author&gt;&lt;author&gt;Zankl, M.&lt;/author&gt;&lt;author&gt;Drexler, G.&lt;/author&gt;&lt;/authors&gt;&lt;/contributors&gt;&lt;titles&gt;&lt;title&gt;Dose-area product and body doses&lt;/title&gt;&lt;secondary-title&gt;Radiation Protection Dosimetry&lt;/secondary-title&gt;&lt;/titles&gt;&lt;periodical&gt;&lt;full-title&gt;Radiation Protection Dosimetry&lt;/full-title&gt;&lt;abbr-1&gt;Radiat. Prot. Dosim.&lt;/abbr-1&gt;&lt;abbr-2&gt;Radiat Prot Dosim&lt;/abbr-2&gt;&lt;/periodical&gt;&lt;pages&gt;363-366&lt;/pages&gt;&lt;volume&gt;57&lt;/volume&gt;&lt;number&gt;1-4&lt;/number&gt;&lt;dates&gt;&lt;year&gt;1995&lt;/year&gt;&lt;/dates&gt;&lt;urls&gt;&lt;/urls&gt;&lt;/record&gt;&lt;/Cite&gt;&lt;/EndNote&gt;</w:instrText>
      </w:r>
      <w:r>
        <w:rPr>
          <w:lang w:val="de-DE"/>
        </w:rPr>
        <w:fldChar w:fldCharType="separate"/>
      </w:r>
      <w:r>
        <w:rPr>
          <w:noProof/>
          <w:lang w:val="de-DE"/>
        </w:rPr>
        <w:t>(1995)</w:t>
      </w:r>
      <w:r>
        <w:rPr>
          <w:lang w:val="de-DE"/>
        </w:rPr>
        <w:fldChar w:fldCharType="end"/>
      </w:r>
      <w:r>
        <w:rPr>
          <w:lang w:val="de-DE"/>
        </w:rPr>
        <w:t xml:space="preserve">. </w:t>
      </w:r>
    </w:p>
    <w:p w14:paraId="2046E4EF" w14:textId="77777777" w:rsidR="00E72CA9" w:rsidRDefault="00D516E3">
      <w:pPr>
        <w:pStyle w:val="ICRPnumberedparagraph"/>
        <w:tabs>
          <w:tab w:val="clear" w:pos="851"/>
          <w:tab w:val="clear" w:pos="2062"/>
          <w:tab w:val="clear" w:pos="5322"/>
          <w:tab w:val="left" w:pos="567"/>
        </w:tabs>
        <w:ind w:left="0"/>
      </w:pPr>
      <w:r>
        <w:t xml:space="preserve"> Until the middle of the 1990s, the results of these studies were usually published in reports containing extensive tables with conversion coefficients for the most frequent x-ray examinations. One of the earliest examples of program suites to interrogate and present this data was Xdose and Childdose, developed by Le Heron and based on tabulated coefficients in Reports 262 </w:t>
      </w:r>
      <w:r>
        <w:fldChar w:fldCharType="begin"/>
      </w:r>
      <w:r>
        <w:instrText xml:space="preserve"> ADDIN EN.CITE &lt;EndNote&gt;&lt;Cite&gt;&lt;Author&gt;Hart&lt;/Author&gt;&lt;Year&gt;1994&lt;/Year&gt;&lt;RecNum&gt;3011&lt;/RecNum&gt;&lt;DisplayText&gt;(Hart et al., 1994b, a)&lt;/DisplayText&gt;&lt;record&gt;&lt;rec-number&gt;3011&lt;/rec-number&gt;&lt;foreign-keys&gt;&lt;key app="EN" db-id="rss5s0wzrpx9pwe5a0h5a9wkx9sf2zexde9d" timestamp="0"&gt;3011&lt;/key&gt;&lt;/foreign-keys&gt;&lt;ref-type name="Report"&gt;27&lt;/ref-type&gt;&lt;contributors&gt;&lt;authors&gt;&lt;author&gt;Hart, D.&lt;/author&gt;&lt;author&gt;Jones, D.G.&lt;/author&gt;&lt;author&gt;Wall, B.F.&lt;/author&gt;&lt;/authors&gt;&lt;/contributors&gt;&lt;titles&gt;&lt;title&gt;Estimation of effective dose in diagnostic radiology from entrance surface dose and dose-area product measurements&lt;/title&gt;&lt;/titles&gt;&lt;dates&gt;&lt;year&gt;1994&lt;/year&gt;&lt;/dates&gt;&lt;pub-location&gt;Chilton, Didcot, UK&lt;/pub-location&gt;&lt;publisher&gt;National Radiological Protection Board&lt;/publisher&gt;&lt;isbn&gt;262&lt;/isbn&gt;&lt;work-type&gt;NRPB Report&lt;/work-type&gt;&lt;urls&gt;&lt;/urls&gt;&lt;/record&gt;&lt;/Cite&gt;&lt;Cite&gt;&lt;Author&gt;Hart&lt;/Author&gt;&lt;Year&gt;1994&lt;/Year&gt;&lt;RecNum&gt;3012&lt;/RecNum&gt;&lt;record&gt;&lt;rec-number&gt;3012&lt;/rec-number&gt;&lt;foreign-keys&gt;&lt;key app="EN" db-id="rss5s0wzrpx9pwe5a0h5a9wkx9sf2zexde9d" timestamp="0"&gt;3012&lt;/key&gt;&lt;/foreign-keys&gt;&lt;ref-type name="Report"&gt;27&lt;/ref-type&gt;&lt;contributors&gt;&lt;authors&gt;&lt;author&gt;Hart, D.&lt;/author&gt;&lt;author&gt;Jones, D.G.&lt;/author&gt;&lt;author&gt;Wall, B.F.&lt;/author&gt;&lt;/authors&gt;&lt;/contributors&gt;&lt;titles&gt;&lt;title&gt;Normalised organ doses for medical x-ray examinations calculated using Monte Carlo techniques&lt;/title&gt;&lt;/titles&gt;&lt;dates&gt;&lt;year&gt;1994&lt;/year&gt;&lt;/dates&gt;&lt;pub-location&gt;Chilton, Didcot, UK&lt;/pub-location&gt;&lt;publisher&gt;National Radiological Protection Board&lt;/publisher&gt;&lt;isbn&gt;SR262&lt;/isbn&gt;&lt;work-type&gt;NRPB Report&lt;/work-type&gt;&lt;urls&gt;&lt;/urls&gt;&lt;/record&gt;&lt;/Cite&gt;&lt;/EndNote&gt;</w:instrText>
      </w:r>
      <w:r>
        <w:fldChar w:fldCharType="separate"/>
      </w:r>
      <w:r>
        <w:rPr>
          <w:noProof/>
        </w:rPr>
        <w:t>(Hart et al., 1994b, a)</w:t>
      </w:r>
      <w:r>
        <w:fldChar w:fldCharType="end"/>
      </w:r>
      <w:r>
        <w:t xml:space="preserve"> and 279 </w:t>
      </w:r>
      <w:r>
        <w:fldChar w:fldCharType="begin"/>
      </w:r>
      <w:r>
        <w:instrText xml:space="preserve"> ADDIN EN.CITE &lt;EndNote&gt;&lt;Cite&gt;&lt;Author&gt;Hart&lt;/Author&gt;&lt;Year&gt;1996&lt;/Year&gt;&lt;RecNum&gt;3013&lt;/RecNum&gt;&lt;DisplayText&gt;(Hart et al., 1996a, b)&lt;/DisplayText&gt;&lt;record&gt;&lt;rec-number&gt;3013&lt;/rec-number&gt;&lt;foreign-keys&gt;&lt;key app="EN" db-id="rss5s0wzrpx9pwe5a0h5a9wkx9sf2zexde9d" timestamp="0"&gt;3013&lt;/key&gt;&lt;/foreign-keys&gt;&lt;ref-type name="Report"&gt;27&lt;/ref-type&gt;&lt;contributors&gt;&lt;authors&gt;&lt;author&gt;Hart, D.&lt;/author&gt;&lt;author&gt;Jones, D.G.&lt;/author&gt;&lt;author&gt;Wall, B.F.&lt;/author&gt;&lt;/authors&gt;&lt;/contributors&gt;&lt;titles&gt;&lt;title&gt;Coefficients for estimating effective doses from paediatric x-ray examinations&lt;/title&gt;&lt;/titles&gt;&lt;dates&gt;&lt;year&gt;1996&lt;/year&gt;&lt;/dates&gt;&lt;pub-location&gt;Chilton, Didcot, UK&lt;/pub-location&gt;&lt;publisher&gt;National Radiological Protection Board&lt;/publisher&gt;&lt;isbn&gt;279&lt;/isbn&gt;&lt;work-type&gt;NRPB Report&lt;/work-type&gt;&lt;urls&gt;&lt;/urls&gt;&lt;/record&gt;&lt;/Cite&gt;&lt;Cite&gt;&lt;Author&gt;Hart&lt;/Author&gt;&lt;Year&gt;1996&lt;/Year&gt;&lt;RecNum&gt;3014&lt;/RecNum&gt;&lt;record&gt;&lt;rec-number&gt;3014&lt;/rec-number&gt;&lt;foreign-keys&gt;&lt;key app="EN" db-id="rss5s0wzrpx9pwe5a0h5a9wkx9sf2zexde9d" timestamp="0"&gt;3014&lt;/key&gt;&lt;/foreign-keys&gt;&lt;ref-type name="Report"&gt;27&lt;/ref-type&gt;&lt;contributors&gt;&lt;authors&gt;&lt;author&gt;Hart, D.&lt;/author&gt;&lt;author&gt;Jones, D.G.&lt;/author&gt;&lt;author&gt;Wall, B.F.&lt;/author&gt;&lt;/authors&gt;&lt;/contributors&gt;&lt;titles&gt;&lt;title&gt;Normalised organ doses for paediatric x-ray examinations calculated using Monte Carlo techniques&lt;/title&gt;&lt;/titles&gt;&lt;dates&gt;&lt;year&gt;1996&lt;/year&gt;&lt;/dates&gt;&lt;pub-location&gt;Chilton, Didcot, UK&lt;/pub-location&gt;&lt;publisher&gt;National Radiological Protection Board&lt;/publisher&gt;&lt;isbn&gt;SR279&lt;/isbn&gt;&lt;work-type&gt;NRPB Report&lt;/work-type&gt;&lt;urls&gt;&lt;/urls&gt;&lt;/record&gt;&lt;/Cite&gt;&lt;/EndNote&gt;</w:instrText>
      </w:r>
      <w:r>
        <w:fldChar w:fldCharType="separate"/>
      </w:r>
      <w:r>
        <w:rPr>
          <w:noProof/>
        </w:rPr>
        <w:t>(Hart et al., 1996a, b)</w:t>
      </w:r>
      <w:r>
        <w:fldChar w:fldCharType="end"/>
      </w:r>
      <w:r>
        <w:t xml:space="preserve"> of </w:t>
      </w:r>
      <w:r>
        <w:rPr>
          <w:sz w:val="22"/>
        </w:rPr>
        <w:t>National Radiological Protection Board</w:t>
      </w:r>
      <w:r>
        <w:t xml:space="preserve">. Later, stand-alone software tools for absorbed dose calculation in x-ray diagnosis began to appear. One of the first of these was published by Rannikko </w:t>
      </w:r>
      <w:r>
        <w:fldChar w:fldCharType="begin"/>
      </w:r>
      <w:r>
        <w:instrText xml:space="preserve"> ADDIN EN.CITE &lt;EndNote&gt;&lt;Cite ExcludeAuth="1"&gt;&lt;Author&gt;Rannikko&lt;/Author&gt;&lt;Year&gt;1997&lt;/Year&gt;&lt;RecNum&gt;12467&lt;/RecNum&gt;&lt;DisplayText&gt;(1997)&lt;/DisplayText&gt;&lt;record&gt;&lt;rec-number&gt;12467&lt;/rec-number&gt;&lt;foreign-keys&gt;&lt;key app="EN" db-id="rss5s0wzrpx9pwe5a0h5a9wkx9sf2zexde9d" timestamp="1685989302"&gt;12467&lt;/key&gt;&lt;/foreign-keys&gt;&lt;ref-type name="Journal Article"&gt;17&lt;/ref-type&gt;&lt;contributors&gt;&lt;authors&gt;&lt;author&gt;Rannikko, S.&lt;/author&gt;&lt;author&gt;Ermakov, I.&lt;/author&gt;&lt;author&gt;Lampinen, J. S.&lt;/author&gt;&lt;author&gt;Toivonen, M.&lt;/author&gt;&lt;author&gt;Karila, K. T.&lt;/author&gt;&lt;author&gt;Chervjakov, A.&lt;/author&gt;&lt;/authors&gt;&lt;/contributors&gt;&lt;auth-address&gt;Institute of Biomedicine, University of Helsinki, Finland.&lt;/auth-address&gt;&lt;titles&gt;&lt;title&gt;Computing patient doses of X-ray examinations using a patient size- and sex-adjustable phantom&lt;/title&gt;&lt;secondary-title&gt;Br J Radiol&lt;/secondary-title&gt;&lt;/titles&gt;&lt;periodical&gt;&lt;full-title&gt;British Journal of Radiology&lt;/full-title&gt;&lt;abbr-1&gt;Br. J. Radiol.&lt;/abbr-1&gt;&lt;abbr-2&gt;Br J Radiol&lt;/abbr-2&gt;&lt;/periodical&gt;&lt;pages&gt;708-18&lt;/pages&gt;&lt;volume&gt;70&lt;/volume&gt;&lt;number&gt;835&lt;/number&gt;&lt;keywords&gt;&lt;keyword&gt;Anthropometry&lt;/keyword&gt;&lt;keyword&gt;Female&lt;/keyword&gt;&lt;keyword&gt;Humans&lt;/keyword&gt;&lt;keyword&gt;Male&lt;/keyword&gt;&lt;keyword&gt;Monte Carlo Method&lt;/keyword&gt;&lt;keyword&gt;*Phantoms, Imaging&lt;/keyword&gt;&lt;keyword&gt;Radiation Dosage&lt;/keyword&gt;&lt;keyword&gt;*Radiography&lt;/keyword&gt;&lt;keyword&gt;Radiometry/*instrumentation&lt;/keyword&gt;&lt;keyword&gt;Sex Characteristics&lt;/keyword&gt;&lt;keyword&gt;Software&lt;/keyword&gt;&lt;/keywords&gt;&lt;dates&gt;&lt;year&gt;1997&lt;/year&gt;&lt;pub-dates&gt;&lt;date&gt;Jul&lt;/date&gt;&lt;/pub-dates&gt;&lt;/dates&gt;&lt;isbn&gt;0007-1285 (Print)&amp;#xD;0007-1285&lt;/isbn&gt;&lt;accession-num&gt;9245883&lt;/accession-num&gt;&lt;urls&gt;&lt;/urls&gt;&lt;electronic-resource-num&gt;10.1259/bjr.70.835.9245883&lt;/electronic-resource-num&gt;&lt;remote-database-provider&gt;NLM&lt;/remote-database-provider&gt;&lt;language&gt;eng&lt;/language&gt;&lt;/record&gt;&lt;/Cite&gt;&lt;/EndNote&gt;</w:instrText>
      </w:r>
      <w:r>
        <w:fldChar w:fldCharType="separate"/>
      </w:r>
      <w:r>
        <w:rPr>
          <w:noProof/>
        </w:rPr>
        <w:t>(1997)</w:t>
      </w:r>
      <w:r>
        <w:fldChar w:fldCharType="end"/>
      </w:r>
      <w:r>
        <w:t xml:space="preserve"> who developed a computer program for organ absorbed dose calculations with a size- and sex-adjustable phantom. This method utilised analytical functions, based on Monte Carlo generated depth-dose distributions in water.</w:t>
      </w:r>
    </w:p>
    <w:p w14:paraId="5AC95D8B" w14:textId="77777777" w:rsidR="00E72CA9" w:rsidRDefault="00D516E3">
      <w:pPr>
        <w:pStyle w:val="ICRPnumberedparagraph"/>
        <w:ind w:left="0"/>
        <w:rPr>
          <w:color w:val="0070C0"/>
        </w:rPr>
      </w:pPr>
      <w:r>
        <w:t xml:space="preserve">In 1998, Servomaa and Tapiovaara </w:t>
      </w:r>
      <w:r>
        <w:fldChar w:fldCharType="begin"/>
      </w:r>
      <w:r>
        <w:instrText xml:space="preserve"> ADDIN EN.CITE &lt;EndNote&gt;&lt;Cite&gt;&lt;Author&gt;Servomaa&lt;/Author&gt;&lt;Year&gt;1998&lt;/Year&gt;&lt;RecNum&gt;155&lt;/RecNum&gt;&lt;DisplayText&gt;(Servomaa and Tapiovaara, 1998)&lt;/DisplayText&gt;&lt;record&gt;&lt;rec-number&gt;155&lt;/rec-number&gt;&lt;foreign-keys&gt;&lt;key app="EN" db-id="tewdatv2kswps0ep9wgxe0tjvatvprte2wrd" timestamp="1681399763"&gt;155&lt;/key&gt;&lt;/foreign-keys&gt;&lt;ref-type name="Journal Article"&gt;17&lt;/ref-type&gt;&lt;contributors&gt;&lt;authors&gt;&lt;author&gt;Servomaa, A.&lt;/author&gt;&lt;author&gt;Tapiovaara, M.&lt;/author&gt;&lt;/authors&gt;&lt;/contributors&gt;&lt;titles&gt;&lt;title&gt;Organ Dose Calculation in Medical X Ray Examinations by the Program PCXMC&lt;/title&gt;&lt;secondary-title&gt;Radiation Protection Dosimetry&lt;/secondary-title&gt;&lt;/titles&gt;&lt;periodical&gt;&lt;full-title&gt;Radiat Prot Dosimetry&lt;/full-title&gt;&lt;abbr-1&gt;Radiation protection dosimetry&lt;/abbr-1&gt;&lt;/periodical&gt;&lt;pages&gt;213-219&lt;/pages&gt;&lt;volume&gt;80&lt;/volume&gt;&lt;number&gt;1-3&lt;/number&gt;&lt;dates&gt;&lt;year&gt;1998&lt;/year&gt;&lt;/dates&gt;&lt;isbn&gt;0144-8420&lt;/isbn&gt;&lt;urls&gt;&lt;related-urls&gt;&lt;url&gt;http://dx.doi.org/10.1093/oxfordjournals.rpd.a032509&lt;/url&gt;&lt;/related-urls&gt;&lt;/urls&gt;&lt;electronic-resource-num&gt;10.1093/oxfordjournals.rpd.a032509&lt;/electronic-resource-num&gt;&lt;/record&gt;&lt;/Cite&gt;&lt;/EndNote&gt;</w:instrText>
      </w:r>
      <w:r>
        <w:fldChar w:fldCharType="separate"/>
      </w:r>
      <w:r>
        <w:rPr>
          <w:noProof/>
        </w:rPr>
        <w:t>(Servomaa and Tapiovaara, 1998)</w:t>
      </w:r>
      <w:r>
        <w:fldChar w:fldCharType="end"/>
      </w:r>
      <w:r>
        <w:t xml:space="preserve"> produced the program ‘A Monte Carlo program for calculating patient doses in medical x-ray examinations (PCXMC)’, which is distributed by the Radiation and Nuclear Safety Authority in Finland </w:t>
      </w:r>
      <w:r>
        <w:fldChar w:fldCharType="begin"/>
      </w:r>
      <w:r>
        <w:instrText xml:space="preserve"> ADDIN EN.CITE &lt;EndNote&gt;&lt;Cite&gt;&lt;Author&gt;Tapiovaara&lt;/Author&gt;&lt;Year&gt;2008&lt;/Year&gt;&lt;RecNum&gt;12458&lt;/RecNum&gt;&lt;DisplayText&gt;(Tapiovaara and Siiskonen, 2008)&lt;/DisplayText&gt;&lt;record&gt;&lt;rec-number&gt;12458&lt;/rec-number&gt;&lt;foreign-keys&gt;&lt;key app="EN" db-id="rss5s0wzrpx9pwe5a0h5a9wkx9sf2zexde9d" timestamp="1685440406"&gt;12458&lt;/key&gt;&lt;/foreign-keys&gt;&lt;ref-type name="Report"&gt;27&lt;/ref-type&gt;&lt;contributors&gt;&lt;authors&gt;&lt;author&gt;Tapiovaara, M.&lt;/author&gt;&lt;author&gt;Siiskonen, T.&lt;/author&gt;&lt;/authors&gt;&lt;/contributors&gt;&lt;titles&gt;&lt;title&gt;PCXMC, a Monte Carlo program for calculating patient doses in medical x-ray examinations&lt;/title&gt;&lt;/titles&gt;&lt;pages&gt;49&lt;/pages&gt;&lt;number&gt;STUK-A--231(ed2)&lt;/number&gt;&lt;dates&gt;&lt;year&gt;2008&lt;/year&gt;&lt;/dates&gt;&lt;pub-location&gt;Finland&lt;/pub-location&gt;&lt;isbn&gt;978-952-478-397-2&lt;/isbn&gt;&lt;urls&gt;&lt;related-urls&gt;&lt;url&gt;http://inis.iaea.org/search/search.aspx?orig_q=RN:40052188&lt;/url&gt;&lt;/related-urls&gt;&lt;/urls&gt;&lt;/record&gt;&lt;/Cite&gt;&lt;/EndNote&gt;</w:instrText>
      </w:r>
      <w:r>
        <w:fldChar w:fldCharType="separate"/>
      </w:r>
      <w:r>
        <w:rPr>
          <w:noProof/>
        </w:rPr>
        <w:t>(Tapiovaara and Siiskonen, 2008)</w:t>
      </w:r>
      <w:r>
        <w:fldChar w:fldCharType="end"/>
      </w:r>
      <w:r>
        <w:t xml:space="preserve">. PCXMC is a Monte Carlo computer code that uses the hermaphrodite adult and paediatric MIRD-type phantoms of Cristy and Eckerman </w:t>
      </w:r>
      <w:r>
        <w:fldChar w:fldCharType="begin"/>
      </w:r>
      <w:r>
        <w:instrText xml:space="preserve"> ADDIN EN.CITE &lt;EndNote&gt;&lt;Cite ExcludeAuth="1"&gt;&lt;Author&gt;Cristy&lt;/Author&gt;&lt;Year&gt;1987&lt;/Year&gt;&lt;RecNum&gt;9411&lt;/RecNum&gt;&lt;DisplayText&gt;(1987)&lt;/DisplayText&gt;&lt;record&gt;&lt;rec-number&gt;9411&lt;/rec-number&gt;&lt;foreign-keys&gt;&lt;key app="EN" db-id="rss5s0wzrpx9pwe5a0h5a9wkx9sf2zexde9d" timestamp="1395145430"&gt;9411&lt;/key&gt;&lt;/foreign-keys&gt;&lt;ref-type name="Report"&gt;27&lt;/ref-type&gt;&lt;contributors&gt;&lt;authors&gt;&lt;author&gt;Cristy, M.&lt;/author&gt;&lt;author&gt;Eckerman, K.F.&lt;/author&gt;&lt;/authors&gt;&lt;/contributors&gt;&lt;titles&gt;&lt;title&gt;Specific absorbed fractions of energy at various ages from internal photon sources, Part I-VII&lt;/title&gt;&lt;/titles&gt;&lt;dates&gt;&lt;year&gt;1987&lt;/year&gt;&lt;/dates&gt;&lt;pub-location&gt;Oak Ridge, TN&lt;/pub-location&gt;&lt;publisher&gt;Oak Ridge National Laboratory&lt;/publisher&gt;&lt;isbn&gt;TM-8381/V1-TM-8381/V7&lt;/isbn&gt;&lt;work-type&gt;ORNL Report&lt;/work-type&gt;&lt;urls&gt;&lt;/urls&gt;&lt;/record&gt;&lt;/Cite&gt;&lt;/EndNote&gt;</w:instrText>
      </w:r>
      <w:r>
        <w:fldChar w:fldCharType="separate"/>
      </w:r>
      <w:r>
        <w:rPr>
          <w:noProof/>
        </w:rPr>
        <w:t>(1987)</w:t>
      </w:r>
      <w:r>
        <w:fldChar w:fldCharType="end"/>
      </w:r>
      <w:r>
        <w:t xml:space="preserve"> and allows for application of scaling factors to modify the size of the phantoms as required. PCXMC functionality includes the ability to calculate organ and tissue absorbed doses, effective dose as per the </w:t>
      </w:r>
      <w:r>
        <w:rPr>
          <w:iCs/>
        </w:rPr>
        <w:t>ICRP</w:t>
      </w:r>
      <w:r>
        <w:rPr>
          <w:i/>
        </w:rPr>
        <w:t xml:space="preserve"> Publication 103</w:t>
      </w:r>
      <w:r>
        <w:t xml:space="preserve"> (2007) regimen and cancer risk using the Seventh Committee on Biological Effects of Ionizing Radiation (BEIR VII) model </w:t>
      </w:r>
      <w:r>
        <w:fldChar w:fldCharType="begin"/>
      </w:r>
      <w:r>
        <w:instrText xml:space="preserve"> ADDIN EN.CITE &lt;EndNote&gt;&lt;Cite ExcludeAuth="1"&gt;&lt;Author&gt;Committee to Assess Health Risks from Exposure to Low Levels of Ionizing Radiation&lt;/Author&gt;&lt;Year&gt;2006&lt;/Year&gt;&lt;RecNum&gt;3485&lt;/RecNum&gt;&lt;DisplayText&gt;(2006)&lt;/DisplayText&gt;&lt;record&gt;&lt;rec-number&gt;3485&lt;/rec-number&gt;&lt;foreign-keys&gt;&lt;key app="EN" db-id="rss5s0wzrpx9pwe5a0h5a9wkx9sf2zexde9d" timestamp="0"&gt;3485&lt;/key&gt;&lt;/foreign-keys&gt;&lt;ref-type name="Book"&gt;6&lt;/ref-type&gt;&lt;contributors&gt;&lt;authors&gt;&lt;author&gt;Committee to Assess Health Risks from Exposure to Low Levels of Ionizing Radiation,&lt;/author&gt;&lt;author&gt;Nuclear and Radiation Studies Board, Division on Earth and Life Studies, &lt;/author&gt;&lt;author&gt;National Research Council of the National Academies. &lt;/author&gt;&lt;/authors&gt;&lt;/contributors&gt;&lt;titles&gt;&lt;title&gt;Health risks from exposure to low levels of ionizing radiation: BEIR VII phase 2.&lt;/title&gt;&lt;/titles&gt;&lt;dates&gt;&lt;year&gt;2006&lt;/year&gt;&lt;/dates&gt;&lt;pub-location&gt;Washington, DC&lt;/pub-location&gt;&lt;publisher&gt;The National Academies Press&lt;/publisher&gt;&lt;urls&gt;&lt;/urls&gt;&lt;/record&gt;&lt;/Cite&gt;&lt;/EndNote&gt;</w:instrText>
      </w:r>
      <w:r>
        <w:fldChar w:fldCharType="separate"/>
      </w:r>
      <w:r>
        <w:rPr>
          <w:noProof/>
        </w:rPr>
        <w:t>(2006)</w:t>
      </w:r>
      <w:r>
        <w:fldChar w:fldCharType="end"/>
      </w:r>
      <w:r>
        <w:t xml:space="preserve">. PCXMC does not use pre-calculated data but carries out a Monte Carlo calculation for the exposure conditions defined by the user. Projections are specified by the user, but could be pre-defined for batch or comparative purposes if required. Further citations on dose coefficients in </w:t>
      </w:r>
      <w:r>
        <w:lastRenderedPageBreak/>
        <w:t xml:space="preserve">conventional radiography can be found in Report 74 of the International. Commission on Radiation Units and Measurements (ICRU) </w:t>
      </w:r>
      <w:r>
        <w:fldChar w:fldCharType="begin"/>
      </w:r>
      <w:r>
        <w:instrText xml:space="preserve"> ADDIN EN.CITE &lt;EndNote&gt;&lt;Cite ExcludeAuth="1"&gt;&lt;Author&gt;ICRU&lt;/Author&gt;&lt;Year&gt;2005&lt;/Year&gt;&lt;RecNum&gt;12469&lt;/RecNum&gt;&lt;DisplayText&gt;(2005)&lt;/DisplayText&gt;&lt;record&gt;&lt;rec-number&gt;12469&lt;/rec-number&gt;&lt;foreign-keys&gt;&lt;key app="EN" db-id="rss5s0wzrpx9pwe5a0h5a9wkx9sf2zexde9d" timestamp="1686053795"&gt;12469&lt;/key&gt;&lt;/foreign-keys&gt;&lt;ref-type name="Journal Article"&gt;17&lt;/ref-type&gt;&lt;contributors&gt;&lt;authors&gt;&lt;author&gt;ICRU&lt;/author&gt;&lt;/authors&gt;&lt;/contributors&gt;&lt;titles&gt;&lt;title&gt;Patient dosimetry for x rays used in medical imaging. ICRU Report 74&lt;/title&gt;&lt;secondary-title&gt;J ICRU&lt;/secondary-title&gt;&lt;/titles&gt;&lt;periodical&gt;&lt;full-title&gt;J icru&lt;/full-title&gt;&lt;/periodical&gt;&lt;volume&gt;5&lt;/volume&gt;&lt;number&gt;2&lt;/number&gt;&lt;dates&gt;&lt;year&gt;2005&lt;/year&gt;&lt;pub-dates&gt;&lt;date&gt;Dec&lt;/date&gt;&lt;/pub-dates&gt;&lt;/dates&gt;&lt;isbn&gt;1473-6691 (Print)&amp;#xD;1473-6691&lt;/isbn&gt;&lt;accession-num&gt;24170883&lt;/accession-num&gt;&lt;urls&gt;&lt;/urls&gt;&lt;electronic-resource-num&gt;10.1093/jicru/ndi016&lt;/electronic-resource-num&gt;&lt;remote-database-provider&gt;NLM&lt;/remote-database-provider&gt;&lt;language&gt;eng&lt;/language&gt;&lt;/record&gt;&lt;/Cite&gt;&lt;/EndNote&gt;</w:instrText>
      </w:r>
      <w:r>
        <w:fldChar w:fldCharType="separate"/>
      </w:r>
      <w:r>
        <w:rPr>
          <w:noProof/>
        </w:rPr>
        <w:t>(2005)</w:t>
      </w:r>
      <w:r>
        <w:fldChar w:fldCharType="end"/>
      </w:r>
      <w:r>
        <w:t xml:space="preserve"> and in Seidenbusch et al. </w:t>
      </w:r>
      <w:r>
        <w:fldChar w:fldCharType="begin"/>
      </w:r>
      <w:r>
        <w:instrText xml:space="preserve"> ADDIN EN.CITE &lt;EndNote&gt;&lt;Cite ExcludeAuth="1"&gt;&lt;Author&gt;Seidenbusch&lt;/Author&gt;&lt;Year&gt;2019&lt;/Year&gt;&lt;RecNum&gt;12470&lt;/RecNum&gt;&lt;DisplayText&gt;(2019)&lt;/DisplayText&gt;&lt;record&gt;&lt;rec-number&gt;12470&lt;/rec-number&gt;&lt;foreign-keys&gt;&lt;key app="EN" db-id="rss5s0wzrpx9pwe5a0h5a9wkx9sf2zexde9d" timestamp="1686054323"&gt;12470&lt;/key&gt;&lt;/foreign-keys&gt;&lt;ref-type name="Book Section"&gt;5&lt;/ref-type&gt;&lt;contributors&gt;&lt;authors&gt;&lt;author&gt;Seidenbusch, Michael&lt;/author&gt;&lt;author&gt;Rösenberger, Veronika&lt;/author&gt;&lt;author&gt;Schneider, Karl&lt;/author&gt;&lt;/authors&gt;&lt;/contributors&gt;&lt;titles&gt;&lt;title&gt;Radiation Dose and Dose Reconstruction in Conventional Paediatric Radiology&lt;/title&gt;&lt;secondary-title&gt;Imaging Practice and Radiation Protection in Pediatric Radiology: Conventional Radiography&lt;/secondary-title&gt;&lt;/titles&gt;&lt;pages&gt;25-44&lt;/pages&gt;&lt;dates&gt;&lt;year&gt;2019&lt;/year&gt;&lt;/dates&gt;&lt;pub-location&gt;Cham&lt;/pub-location&gt;&lt;publisher&gt;Springer International Publishing&lt;/publisher&gt;&lt;isbn&gt;978-3-030-18504-6&lt;/isbn&gt;&lt;label&gt;Seidenbusch2019&lt;/label&gt;&lt;urls&gt;&lt;related-urls&gt;&lt;url&gt;https://doi.org/10.1007/978-3-030-18504-6_4&lt;/url&gt;&lt;/related-urls&gt;&lt;/urls&gt;&lt;electronic-resource-num&gt;10.1007/978-3-030-18504-6_4&lt;/electronic-resource-num&gt;&lt;/record&gt;&lt;/Cite&gt;&lt;/EndNote&gt;</w:instrText>
      </w:r>
      <w:r>
        <w:fldChar w:fldCharType="separate"/>
      </w:r>
      <w:r>
        <w:rPr>
          <w:noProof/>
        </w:rPr>
        <w:t>(2019)</w:t>
      </w:r>
      <w:r>
        <w:fldChar w:fldCharType="end"/>
      </w:r>
      <w:r>
        <w:rPr>
          <w:color w:val="0070C0"/>
        </w:rPr>
        <w:t>.</w:t>
      </w:r>
    </w:p>
    <w:p w14:paraId="7A168A97" w14:textId="77777777" w:rsidR="00E72CA9" w:rsidRDefault="00D516E3">
      <w:pPr>
        <w:pStyle w:val="ICRPnumberedparagraph"/>
        <w:ind w:left="0"/>
        <w:rPr>
          <w:strike/>
        </w:rPr>
      </w:pPr>
      <w:r>
        <w:t xml:space="preserve">The development of tomographic or voxel-based phantoms began in the 1980s in order to address issues raised by the anatomical limitations of the mathematical MIRD-type phantoms, and several phantoms have been proposed over time. Studies employing voxel phantoms for Monte Carlo calculations to determine organ doses in radiography include </w:t>
      </w:r>
      <w:r>
        <w:fldChar w:fldCharType="begin">
          <w:fldData xml:space="preserve">PEVuZE5vdGU+PENpdGU+PEF1dGhvcj5WZWl0PC9BdXRob3I+PFllYXI+MTk5MjwvWWVhcj48UmVj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</w:fldData>
        </w:fldChar>
      </w:r>
      <w:r>
        <w:instrText xml:space="preserve"> ADDIN EN.CITE </w:instrText>
      </w:r>
      <w:r>
        <w:fldChar w:fldCharType="begin">
          <w:fldData xml:space="preserve">PEVuZE5vdGU+PENpdGU+PEF1dGhvcj5WZWl0PC9BdXRob3I+PFllYXI+MTk5MjwvWWVhcj48UmVj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</w:fldData>
        </w:fldChar>
      </w:r>
      <w:r>
        <w:instrText xml:space="preserve"> ADDIN EN.CITE.DATA </w:instrText>
      </w:r>
      <w:r>
        <w:fldChar w:fldCharType="end"/>
      </w:r>
      <w:r>
        <w:fldChar w:fldCharType="separate"/>
      </w:r>
      <w:r>
        <w:rPr>
          <w:noProof/>
        </w:rPr>
        <w:t>(Veit and Zankl, 1992; Zankl, 1992; Veit and Zankl, 1993; Zankl, 1993; Petoussi-Henss et al., 1995; Winslow et al., 2004)</w:t>
      </w:r>
      <w:r>
        <w:fldChar w:fldCharType="end"/>
      </w:r>
      <w:r>
        <w:t>.</w:t>
      </w:r>
    </w:p>
    <w:p w14:paraId="4DCFAEAD" w14:textId="77777777" w:rsidR="00E72CA9" w:rsidRDefault="00D516E3">
      <w:pPr>
        <w:pStyle w:val="ICRPnumberedparagraph"/>
        <w:ind w:left="0"/>
        <w:rPr>
          <w:strike/>
        </w:rPr>
      </w:pPr>
      <w:r>
        <w:t xml:space="preserve">In 2008 Kramer et al. developed a Monte Carlo based software tool called CALDose X </w:t>
      </w:r>
      <w:r>
        <w:fldChar w:fldCharType="begin"/>
      </w:r>
      <w:r>
        <w:instrText xml:space="preserve"> ADDIN EN.CITE &lt;EndNote&gt;&lt;Cite&gt;&lt;Author&gt;Kramer&lt;/Author&gt;&lt;Year&gt;2008&lt;/Year&gt;&lt;RecNum&gt;12459&lt;/RecNum&gt;&lt;DisplayText&gt;(Kramer et al., 2008)&lt;/DisplayText&gt;&lt;record&gt;&lt;rec-number&gt;12459&lt;/rec-number&gt;&lt;foreign-keys&gt;&lt;key app="EN" db-id="rss5s0wzrpx9pwe5a0h5a9wkx9sf2zexde9d" timestamp="1685440621"&gt;12459&lt;/key&gt;&lt;/foreign-keys&gt;&lt;ref-type name="Journal Article"&gt;17&lt;/ref-type&gt;&lt;contributors&gt;&lt;authors&gt;&lt;author&gt;Kramer, R.&lt;/author&gt;&lt;author&gt;Khoury, H. J.&lt;/author&gt;&lt;author&gt;Vieira, J. W.&lt;/author&gt;&lt;/authors&gt;&lt;/contributors&gt;&lt;auth-address&gt;Departamento de Energia Nuclear, Universidade Federal de Pernambuco, Av. Prof. Luiz Freire 1000, Cidade Universitária, CEP 50740-540, Recife, PE, Brazil. rkramer@uol.com.br&lt;/auth-address&gt;&lt;titles&gt;&lt;title&gt;CALDose_X-a software tool for the assessment of organ and tissue absorbed doses, effective dose and cancer risks in diagnostic radiology&lt;/title&gt;&lt;secondary-title&gt;Phys Med Biol&lt;/secondary-title&gt;&lt;/titles&gt;&lt;periodical&gt;&lt;full-title&gt;Phys Med Biol&lt;/full-title&gt;&lt;/periodical&gt;&lt;pages&gt;6437-59&lt;/pages&gt;&lt;volume&gt;53&lt;/volume&gt;&lt;number&gt;22&lt;/number&gt;&lt;edition&gt;20081021&lt;/edition&gt;&lt;keywords&gt;&lt;keyword&gt;Adult&lt;/keyword&gt;&lt;keyword&gt;Aged&lt;/keyword&gt;&lt;keyword&gt;Aged, 80 and over&lt;/keyword&gt;&lt;keyword&gt;Education&lt;/keyword&gt;&lt;keyword&gt;Environmental Exposure/adverse effects&lt;/keyword&gt;&lt;keyword&gt;Female&lt;/keyword&gt;&lt;keyword&gt;Health Services&lt;/keyword&gt;&lt;keyword&gt;Hospitals&lt;/keyword&gt;&lt;keyword&gt;Humans&lt;/keyword&gt;&lt;keyword&gt;Male&lt;/keyword&gt;&lt;keyword&gt;Middle Aged&lt;/keyword&gt;&lt;keyword&gt;*Neoplasms, Radiation-Induced&lt;/keyword&gt;&lt;keyword&gt;Phantoms, Imaging&lt;/keyword&gt;&lt;keyword&gt;*Radiation Dosage&lt;/keyword&gt;&lt;keyword&gt;Radiography/*adverse effects&lt;/keyword&gt;&lt;keyword&gt;Risk&lt;/keyword&gt;&lt;keyword&gt;Sex Characteristics&lt;/keyword&gt;&lt;keyword&gt;*Software&lt;/keyword&gt;&lt;/keywords&gt;&lt;dates&gt;&lt;year&gt;2008&lt;/year&gt;&lt;pub-dates&gt;&lt;date&gt;Nov 21&lt;/date&gt;&lt;/pub-dates&gt;&lt;/dates&gt;&lt;isbn&gt;0031-9155 (Print)&amp;#xD;0031-9155&lt;/isbn&gt;&lt;accession-num&gt;18941276&lt;/accession-num&gt;&lt;urls&gt;&lt;/urls&gt;&lt;electronic-resource-num&gt;10.1088/0031-9155/53/22/011&lt;/electronic-resource-num&gt;&lt;remote-database-provider&gt;NLM&lt;/remote-database-provider&gt;&lt;language&gt;eng&lt;/language&gt;&lt;/record&gt;&lt;/Cite&gt;&lt;/EndNote&gt;</w:instrText>
      </w:r>
      <w:r>
        <w:fldChar w:fldCharType="separate"/>
      </w:r>
      <w:r>
        <w:rPr>
          <w:noProof/>
        </w:rPr>
        <w:t>(Kramer et al., 2008)</w:t>
      </w:r>
      <w:r>
        <w:fldChar w:fldCharType="end"/>
      </w:r>
      <w:r>
        <w:t xml:space="preserve"> that contains within its functionality the ability to calculate organ and tissue absorbed doses using the voxel phantoms FAX06 and MAX06 </w:t>
      </w:r>
      <w:r>
        <w:fldChar w:fldCharType="begin"/>
      </w:r>
      <w:r>
        <w:instrText xml:space="preserve"> ADDIN EN.CITE &lt;EndNote&gt;&lt;Cite&gt;&lt;Author&gt;Kramer&lt;/Author&gt;&lt;Year&gt;2006&lt;/Year&gt;&lt;RecNum&gt;3064&lt;/RecNum&gt;&lt;DisplayText&gt;(Kramer et al., 2006)&lt;/DisplayText&gt;&lt;record&gt;&lt;rec-number&gt;3064&lt;/rec-number&gt;&lt;foreign-keys&gt;&lt;key app="EN" db-id="rss5s0wzrpx9pwe5a0h5a9wkx9sf2zexde9d" timestamp="0"&gt;3064&lt;/key&gt;&lt;/foreign-keys&gt;&lt;ref-type name="Journal Article"&gt;17&lt;/ref-type&gt;&lt;contributors&gt;&lt;authors&gt;&lt;author&gt;Kramer, R.&lt;/author&gt;&lt;author&gt;Khoury, H.J.&lt;/author&gt;&lt;author&gt;Vieira, J.W.&lt;/author&gt;&lt;author&gt;Lima, V.J.M.&lt;/author&gt;&lt;/authors&gt;&lt;/contributors&gt;&lt;titles&gt;&lt;title&gt;MAX06 and FAX06: update of two adult human phantoms for radiation protection dosimetry&lt;/title&gt;&lt;secondary-title&gt;Physics in Medicine and Biology&lt;/secondary-title&gt;&lt;/titles&gt;&lt;pages&gt;3331-3346&lt;/pages&gt;&lt;volume&gt;51&lt;/volume&gt;&lt;dates&gt;&lt;year&gt;2006&lt;/year&gt;&lt;/dates&gt;&lt;urls&gt;&lt;/urls&gt;&lt;electronic-resource-num&gt;doi:10.1088/0031-9155/51/14/003&lt;/electronic-resource-num&gt;&lt;/record&gt;&lt;/Cite&gt;&lt;/EndNote&gt;</w:instrText>
      </w:r>
      <w:r>
        <w:fldChar w:fldCharType="separate"/>
      </w:r>
      <w:r>
        <w:rPr>
          <w:noProof/>
        </w:rPr>
        <w:t>(Kramer et al., 2006)</w:t>
      </w:r>
      <w:r>
        <w:fldChar w:fldCharType="end"/>
      </w:r>
      <w:r>
        <w:t xml:space="preserve"> which have standard i.e. reference sizes as described by </w:t>
      </w:r>
      <w:r>
        <w:rPr>
          <w:iCs/>
        </w:rPr>
        <w:t>ICRP</w:t>
      </w:r>
      <w:r>
        <w:rPr>
          <w:i/>
        </w:rPr>
        <w:t xml:space="preserve"> Publication 89</w:t>
      </w:r>
      <w:r>
        <w:t xml:space="preserve"> (2002). The functionality of the tool also included the assessment of cancer risk based on the factors presented in </w:t>
      </w:r>
      <w:r>
        <w:rPr>
          <w:iCs/>
        </w:rPr>
        <w:t>ICRP</w:t>
      </w:r>
      <w:r>
        <w:rPr>
          <w:i/>
        </w:rPr>
        <w:t xml:space="preserve"> Publication 103</w:t>
      </w:r>
      <w:r>
        <w:t xml:space="preserve"> and BEIR VII model </w:t>
      </w:r>
      <w:r>
        <w:fldChar w:fldCharType="begin"/>
      </w:r>
      <w:r>
        <w:instrText xml:space="preserve"> ADDIN EN.CITE &lt;EndNote&gt;&lt;Cite ExcludeAuth="1"&gt;&lt;Author&gt;Committee to Assess Health Risks from Exposure to Low Levels of Ionizing Radiation&lt;/Author&gt;&lt;Year&gt;2006&lt;/Year&gt;&lt;RecNum&gt;3485&lt;/RecNum&gt;&lt;DisplayText&gt;(2006)&lt;/DisplayText&gt;&lt;record&gt;&lt;rec-number&gt;3485&lt;/rec-number&gt;&lt;foreign-keys&gt;&lt;key app="EN" db-id="rss5s0wzrpx9pwe5a0h5a9wkx9sf2zexde9d" timestamp="0"&gt;3485&lt;/key&gt;&lt;/foreign-keys&gt;&lt;ref-type name="Book"&gt;6&lt;/ref-type&gt;&lt;contributors&gt;&lt;authors&gt;&lt;author&gt;Committee to Assess Health Risks from Exposure to Low Levels of Ionizing Radiation,&lt;/author&gt;&lt;author&gt;Nuclear and Radiation Studies Board, Division on Earth and Life Studies, &lt;/author&gt;&lt;author&gt;National Research Council of the National Academies. &lt;/author&gt;&lt;/authors&gt;&lt;/contributors&gt;&lt;titles&gt;&lt;title&gt;Health risks from exposure to low levels of ionizing radiation: BEIR VII phase 2.&lt;/title&gt;&lt;/titles&gt;&lt;dates&gt;&lt;year&gt;2006&lt;/year&gt;&lt;/dates&gt;&lt;pub-location&gt;Washington, DC&lt;/pub-location&gt;&lt;publisher&gt;The National Academies Press&lt;/publisher&gt;&lt;urls&gt;&lt;/urls&gt;&lt;/record&gt;&lt;/Cite&gt;&lt;/EndNote&gt;</w:instrText>
      </w:r>
      <w:r>
        <w:fldChar w:fldCharType="separate"/>
      </w:r>
      <w:r>
        <w:rPr>
          <w:noProof/>
        </w:rPr>
        <w:t>(2006)</w:t>
      </w:r>
      <w:r>
        <w:fldChar w:fldCharType="end"/>
      </w:r>
      <w:r>
        <w:t xml:space="preserve">. </w:t>
      </w:r>
      <w:proofErr w:type="spellStart"/>
      <w:r>
        <w:t>CALDose_X</w:t>
      </w:r>
      <w:proofErr w:type="spellEnd"/>
      <w:r>
        <w:t xml:space="preserve"> 5.0 is the current version of the software program for calculating organ absorbed doses and radiological risks using the ICRP</w:t>
      </w:r>
      <w:r>
        <w:rPr>
          <w:i/>
          <w:iCs/>
        </w:rPr>
        <w:t xml:space="preserve"> </w:t>
      </w:r>
      <w:r>
        <w:rPr>
          <w:i/>
        </w:rPr>
        <w:t>Publication 89</w:t>
      </w:r>
      <w:r>
        <w:t xml:space="preserve"> – based mesh phantoms FASH and MASH </w:t>
      </w:r>
      <w:r>
        <w:fldChar w:fldCharType="begin"/>
      </w:r>
      <w:r>
        <w:instrText xml:space="preserve"> ADDIN EN.CITE &lt;EndNote&gt;&lt;Cite&gt;&lt;Author&gt;Cassola&lt;/Author&gt;&lt;Year&gt;2010&lt;/Year&gt;&lt;RecNum&gt;6137&lt;/RecNum&gt;&lt;DisplayText&gt;(Cassola et al., 2010; Kramer et al., 2010)&lt;/DisplayText&gt;&lt;record&gt;&lt;rec-number&gt;6137&lt;/rec-number&gt;&lt;foreign-keys&gt;&lt;key app="EN" db-id="rss5s0wzrpx9pwe5a0h5a9wkx9sf2zexde9d" timestamp="0"&gt;6137&lt;/key&gt;&lt;/foreign-keys&gt;&lt;ref-type name="Journal Article"&gt;17&lt;/ref-type&gt;&lt;contributors&gt;&lt;authors&gt;&lt;author&gt;Cassola, V. F.&lt;/author&gt;&lt;author&gt;de Melo Lima, V. J. &lt;/author&gt;&lt;author&gt;Kramer, R &lt;/author&gt;&lt;author&gt;Khoury, H. J.&lt;/author&gt;&lt;/authors&gt;&lt;/contributors&gt;&lt;titles&gt;&lt;title&gt;FASH and MASH: female and male adult human phantoms based on polygon mesh surfaces: I. Development of the anatomy&lt;/title&gt;&lt;secondary-title&gt;Physics in Medicine and Biology&lt;/secondary-title&gt;&lt;/titles&gt;&lt;pages&gt;133-162&lt;/pages&gt;&lt;volume&gt;55&lt;/volume&gt;&lt;number&gt;1&lt;/number&gt;&lt;dates&gt;&lt;year&gt;2010&lt;/year&gt;&lt;/dates&gt;&lt;urls&gt;&lt;/urls&gt;&lt;/record&gt;&lt;/Cite&gt;&lt;Cite&gt;&lt;Author&gt;Kramer&lt;/Author&gt;&lt;Year&gt;2010&lt;/Year&gt;&lt;RecNum&gt;6138&lt;/RecNum&gt;&lt;record&gt;&lt;rec-number&gt;6138&lt;/rec-number&gt;&lt;foreign-keys&gt;&lt;key app="EN" db-id="rss5s0wzrpx9pwe5a0h5a9wkx9sf2zexde9d" timestamp="0"&gt;6138&lt;/key&gt;&lt;/foreign-keys&gt;&lt;ref-type name="Journal Article"&gt;17&lt;/ref-type&gt;&lt;contributors&gt;&lt;authors&gt;&lt;author&gt;Kramer, R &lt;/author&gt;&lt;author&gt;Cassola, V. F. &lt;/author&gt;&lt;author&gt;Khoury, H. J. &lt;/author&gt;&lt;author&gt;Vieira, J. W. &lt;/author&gt;&lt;author&gt;de Melo Lima, V. J. &lt;/author&gt;&lt;author&gt;Robson Brown, K. &lt;/author&gt;&lt;/authors&gt;&lt;/contributors&gt;&lt;titles&gt;&lt;title&gt;FASH and MASH: female and male adult human phantoms based on polygon mesh surfaces: II. Dosimetric calculations&lt;/title&gt;&lt;secondary-title&gt;Physics in Medicine and Biology&lt;/secondary-title&gt;&lt;/titles&gt;&lt;pages&gt;163-189&lt;/pages&gt;&lt;volume&gt;55&lt;/volume&gt;&lt;number&gt;1&lt;/number&gt;&lt;dates&gt;&lt;year&gt;2010&lt;/year&gt;&lt;/dates&gt;&lt;urls&gt;&lt;/urls&gt;&lt;/record&gt;&lt;/Cite&gt;&lt;/EndNote&gt;</w:instrText>
      </w:r>
      <w:r>
        <w:fldChar w:fldCharType="separate"/>
      </w:r>
      <w:r>
        <w:rPr>
          <w:noProof/>
        </w:rPr>
        <w:t>(Cassola et al., 2010; Kramer et al., 2010)</w:t>
      </w:r>
      <w:r>
        <w:fldChar w:fldCharType="end"/>
      </w:r>
      <w:r>
        <w:t xml:space="preserve">. The online tool allows the user to select one of 10 phantoms, four adult and six paediatric, on which the calculation can be based. The adult phantoms are further subdivided to allow age and body mass index to be selected. </w:t>
      </w:r>
    </w:p>
    <w:p w14:paraId="336D0B60" w14:textId="77777777" w:rsidR="00E72CA9" w:rsidRDefault="00D516E3">
      <w:pPr>
        <w:pStyle w:val="Annalstext"/>
        <w:numPr>
          <w:ilvl w:val="0"/>
          <w:numId w:val="1"/>
        </w:numPr>
        <w:tabs>
          <w:tab w:val="num" w:pos="502"/>
        </w:tabs>
        <w:ind w:left="0"/>
        <w:rPr>
          <w:rStyle w:val="Annalstext0"/>
          <w:snapToGrid w:val="0"/>
          <w:szCs w:val="22"/>
        </w:rPr>
      </w:pPr>
      <w:r>
        <w:rPr>
          <w:rStyle w:val="Annalstext0"/>
        </w:rPr>
        <w:t xml:space="preserve">For many years, ICRP has produced reference dose coefficients for common diagnostic nuclear medicine procedures </w:t>
      </w:r>
      <w:r>
        <w:rPr>
          <w:rStyle w:val="Annalstext0"/>
        </w:rPr>
        <w:fldChar w:fldCharType="begin">
          <w:fldData xml:space="preserve">PEVuZE5vdGU+PENpdGU+PEF1dGhvcj5JQ1JQPC9BdXRob3I+PFllYXI+MTk4NzwvWWVhcj48UmVj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</w:fldData>
        </w:fldChar>
      </w:r>
      <w:r>
        <w:rPr>
          <w:rStyle w:val="Annalstext0"/>
        </w:rPr>
        <w:instrText xml:space="preserve"> ADDIN EN.CITE </w:instrText>
      </w:r>
      <w:r>
        <w:rPr>
          <w:rStyle w:val="Annalstext0"/>
        </w:rPr>
        <w:fldChar w:fldCharType="begin">
          <w:fldData xml:space="preserve">PEVuZE5vdGU+PENpdGU+PEF1dGhvcj5JQ1JQPC9BdXRob3I+PFllYXI+MTk4NzwvWWVhcj48UmVj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</w:fldData>
        </w:fldChar>
      </w:r>
      <w:r>
        <w:rPr>
          <w:rStyle w:val="Annalstext0"/>
        </w:rPr>
        <w:instrText xml:space="preserve"> ADDIN EN.CITE.DATA </w:instrText>
      </w:r>
      <w:r>
        <w:rPr>
          <w:rStyle w:val="Annalstext0"/>
        </w:rPr>
      </w:r>
      <w:r>
        <w:rPr>
          <w:rStyle w:val="Annalstext0"/>
        </w:rPr>
        <w:fldChar w:fldCharType="end"/>
      </w:r>
      <w:r>
        <w:rPr>
          <w:rStyle w:val="Annalstext0"/>
        </w:rPr>
      </w:r>
      <w:r>
        <w:rPr>
          <w:rStyle w:val="Annalstext0"/>
        </w:rPr>
        <w:fldChar w:fldCharType="separate"/>
      </w:r>
      <w:r>
        <w:rPr>
          <w:rStyle w:val="Annalstext0"/>
          <w:noProof/>
        </w:rPr>
        <w:t>(ICRP, 1987, 1991a, 1998, 2008, 2015b)</w:t>
      </w:r>
      <w:r>
        <w:rPr>
          <w:rStyle w:val="Annalstext0"/>
        </w:rPr>
        <w:fldChar w:fldCharType="end"/>
      </w:r>
      <w:r>
        <w:rPr>
          <w:rStyle w:val="Annalstext0"/>
        </w:rPr>
        <w:t>. However, ICRP has not to date provided reference dose coefficients for x-ray imaging procedures, and consequently different methodologies and phantoms are used to convert measurements to estimates of effective dose or some surrogate of effective dose. These calculations necessarily rely on disparate published data based on the use of older stylised hermaphrodite phantoms that are not in alignment with the most recent ICRP reference phantoms. In addition, different computational methods for radiation transport have been used to report organ absorbed and equivalent doses from which the effective dose is computed. The availability of ICRP reference organ and effective dose coefficients will, therefore, facilitate the work of national and international authorities responsible for such calculations.</w:t>
      </w:r>
    </w:p>
    <w:p w14:paraId="795A2442" w14:textId="77777777" w:rsidR="00E72CA9" w:rsidRDefault="00D516E3">
      <w:pPr>
        <w:pStyle w:val="Annalstext"/>
        <w:numPr>
          <w:ilvl w:val="0"/>
          <w:numId w:val="1"/>
        </w:numPr>
        <w:tabs>
          <w:tab w:val="num" w:pos="502"/>
        </w:tabs>
        <w:ind w:left="0"/>
        <w:rPr>
          <w:i/>
        </w:rPr>
      </w:pPr>
      <w:r>
        <w:rPr>
          <w:rStyle w:val="af"/>
          <w:b w:val="0"/>
          <w:bCs w:val="0"/>
          <w:szCs w:val="24"/>
        </w:rPr>
        <w:t>Organ</w:t>
      </w:r>
      <w:r>
        <w:rPr>
          <w:rStyle w:val="af"/>
          <w:szCs w:val="24"/>
        </w:rPr>
        <w:t xml:space="preserve"> </w:t>
      </w:r>
      <w:r>
        <w:t>doses from radiographic procedures can be assessed using Monte Carlo simulations and computational phantoms, in the form of dose coefficients that relate measured KAP (</w:t>
      </w:r>
      <w:r>
        <w:rPr>
          <w:i/>
        </w:rPr>
        <w:t>P</w:t>
      </w:r>
      <w:r>
        <w:rPr>
          <w:vertAlign w:val="subscript"/>
        </w:rPr>
        <w:t>KA</w:t>
      </w:r>
      <w:r>
        <w:t xml:space="preserve">) or air kerma to organ or effective dose. As stated above, most of the existing lists of organ doses and relevant software are based on stylised, mathematical MIRD-type phantoms. In the last few years dose coefficients using voxel computational phantoms have become available </w:t>
      </w:r>
      <w:r>
        <w:fldChar w:fldCharType="begin">
          <w:fldData xml:space="preserve">PEVuZE5vdGU+PENpdGU+PEF1dGhvcj5JQ1JQPC9BdXRob3I+PFllYXI+MjAxMDwvWWVhcj48UmVj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</w:fldData>
        </w:fldChar>
      </w:r>
      <w:r>
        <w:instrText xml:space="preserve"> ADDIN EN.CITE </w:instrText>
      </w:r>
      <w:r>
        <w:fldChar w:fldCharType="begin">
          <w:fldData xml:space="preserve">PEVuZE5vdGU+PENpdGU+PEF1dGhvcj5JQ1JQPC9BdXRob3I+PFllYXI+MjAxMDwvWWVhcj48UmVj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</w:fldData>
        </w:fldChar>
      </w:r>
      <w:r>
        <w:instrText xml:space="preserve"> ADDIN EN.CITE.DATA </w:instrText>
      </w:r>
      <w:r>
        <w:fldChar w:fldCharType="end"/>
      </w:r>
      <w:r>
        <w:fldChar w:fldCharType="separate"/>
      </w:r>
      <w:r>
        <w:rPr>
          <w:noProof/>
        </w:rPr>
        <w:t>(ICRP, 2010, 2013, 2015a, 2016a, b, 2017, 2019, 2020b)</w:t>
      </w:r>
      <w:r>
        <w:fldChar w:fldCharType="end"/>
      </w:r>
      <w:r>
        <w:t xml:space="preserve">. The voxel phantoms, constructed using high resolution medical images, present a significant advance towards more realistic representation of the human body. Previous studies have shown that, for some examinations, differences in dose coefficients do occur between the different types of phantoms (voxel or MIRD) and can be attributed to the different amount of shielding of an organ, depending on the position and mutual overlapping of these organs </w:t>
      </w:r>
      <w:r>
        <w:fldChar w:fldCharType="begin"/>
      </w:r>
      <w:r>
        <w:instrText xml:space="preserve"> ADDIN EN.CITE &lt;EndNote&gt;&lt;Cite&gt;&lt;Author&gt;Zankl&lt;/Author&gt;&lt;Year&gt;2002&lt;/Year&gt;&lt;RecNum&gt;1880&lt;/RecNum&gt;&lt;DisplayText&gt;(Zankl et al., 2002)&lt;/DisplayText&gt;&lt;record&gt;&lt;rec-number&gt;1880&lt;/rec-number&gt;&lt;foreign-keys&gt;&lt;key app="EN" db-id="rss5s0wzrpx9pwe5a0h5a9wkx9sf2zexde9d" timestamp="0"&gt;1880&lt;/key&gt;&lt;/foreign-keys&gt;&lt;ref-type name="Journal Article"&gt;17&lt;/ref-type&gt;&lt;contributors&gt;&lt;authors&gt;&lt;author&gt;Zankl, M.&lt;/author&gt;&lt;author&gt;Fill, U.&lt;/author&gt;&lt;author&gt;Petoussi-Henss, N.&lt;/author&gt;&lt;author&gt;Regulla, D.&lt;/author&gt;&lt;/authors&gt;&lt;/contributors&gt;&lt;titles&gt;&lt;title&gt;Organ dose conversion coefficients for external photon irradiation of male and female voxel models&lt;/title&gt;&lt;secondary-title&gt;Physics in Medicine and Biology&lt;/secondary-title&gt;&lt;/titles&gt;&lt;pages&gt;2367-2385&lt;/pages&gt;&lt;volume&gt;47&lt;/volume&gt;&lt;number&gt;14&lt;/number&gt;&lt;keywords&gt;&lt;keyword&gt;organ dose&lt;/keyword&gt;&lt;keyword&gt;external photon irradiation&lt;/keyword&gt;&lt;keyword&gt;voxel models&lt;/keyword&gt;&lt;keyword&gt;male and female&lt;/keyword&gt;&lt;keyword&gt;Monte Carlo calculation&lt;/keyword&gt;&lt;/keywords&gt;&lt;dates&gt;&lt;year&gt;2002&lt;/year&gt;&lt;/dates&gt;&lt;urls&gt;&lt;/urls&gt;&lt;/record&gt;&lt;/Cite&gt;&lt;/EndNote&gt;</w:instrText>
      </w:r>
      <w:r>
        <w:fldChar w:fldCharType="separate"/>
      </w:r>
      <w:r>
        <w:rPr>
          <w:noProof/>
        </w:rPr>
        <w:t>(Zankl et al., 2002)</w:t>
      </w:r>
      <w:r>
        <w:fldChar w:fldCharType="end"/>
      </w:r>
      <w:r>
        <w:t xml:space="preserve">. Individual dose differences for voxel phantoms are mainly due to the dependence of x-ray absorption on patient diameter but may also be due to in field organ size, shape, and positioning. Computations of dose conversion coefficients for routine examinations have shown significant differences for individual organs between different voxel phantoms but also between the ICRP Reference Computational Phantoms and the MIRD type reference phantoms used so far </w:t>
      </w:r>
      <w:r>
        <w:fldChar w:fldCharType="begin"/>
      </w:r>
      <w:r>
        <w:instrText xml:space="preserve"> ADDIN EN.CITE &lt;EndNote&gt;&lt;Cite&gt;&lt;Author&gt;Petoussi-Henss&lt;/Author&gt;&lt;Year&gt;2006&lt;/Year&gt;&lt;RecNum&gt;12492&lt;/RecNum&gt;&lt;DisplayText&gt;(Petoussi-Henss et al., 2006)&lt;/DisplayText&gt;&lt;record&gt;&lt;rec-number&gt;12492&lt;/rec-number&gt;&lt;foreign-keys&gt;&lt;key app="EN" db-id="rss5s0wzrpx9pwe5a0h5a9wkx9sf2zexde9d" timestamp="1696609172"&gt;12492&lt;/key&gt;&lt;/foreign-keys&gt;&lt;ref-type name="Conference Proceedings"&gt;10&lt;/ref-type&gt;&lt;contributors&gt;&lt;authors&gt;&lt;author&gt;Petoussi-Henss, N.&lt;/author&gt;&lt;author&gt;Zankl, M.&lt;/author&gt;&lt;author&gt;Schlattl, H. &lt;/author&gt;&lt;author&gt;Becker, J. &lt;/author&gt;&lt;author&gt;Hoeschen, C.&lt;/author&gt;&lt;/authors&gt;&lt;secondary-authors&gt;&lt;author&gt;Bogner, L.&lt;/author&gt;&lt;author&gt;Dobler, B. &lt;/author&gt;&lt;/secondary-authors&gt;&lt;/contributors&gt;&lt;titles&gt;&lt;title&gt;Organdosiskonversionsfaktoren für röntgendiagnostische&amp;#xD;Untersuchungen anhand von Monte-Carlo-Simulationen&lt;/title&gt;&lt;secondary-title&gt;37. Jahrestagung der Deutschen Gesellschaft für Medizinische Physik e.V&lt;/secondary-title&gt;&lt;/titles&gt;&lt;volume&gt;1&lt;/volume&gt;&lt;dates&gt;&lt;year&gt;2006&lt;/year&gt;&lt;/dates&gt;&lt;pub-location&gt;Regensburg&lt;/pub-location&gt;&lt;publisher&gt;DGMP &lt;/publisher&gt;&lt;isbn&gt;3-925218-87-4&lt;/isbn&gt;&lt;urls&gt;&lt;/urls&gt;&lt;/record&gt;&lt;/Cite&gt;&lt;/EndNote&gt;</w:instrText>
      </w:r>
      <w:r>
        <w:fldChar w:fldCharType="separate"/>
      </w:r>
      <w:r>
        <w:rPr>
          <w:noProof/>
        </w:rPr>
        <w:t>(Petoussi-Henss et al., 2006)</w:t>
      </w:r>
      <w:r>
        <w:fldChar w:fldCharType="end"/>
      </w:r>
      <w:r>
        <w:t xml:space="preserve">. </w:t>
      </w:r>
    </w:p>
    <w:p w14:paraId="122DF5A2" w14:textId="77777777" w:rsidR="00E72CA9" w:rsidRDefault="00D516E3">
      <w:pPr>
        <w:pStyle w:val="Annalstext"/>
        <w:numPr>
          <w:ilvl w:val="0"/>
          <w:numId w:val="1"/>
        </w:numPr>
        <w:tabs>
          <w:tab w:val="num" w:pos="502"/>
        </w:tabs>
        <w:ind w:left="0"/>
      </w:pPr>
      <w:r>
        <w:t xml:space="preserve">This publication describes the ICRP approach to developing organ absorbed dose conversion coefficients for radiographic imaging.  The coefficients have been produced for the adult male and female ICRP reference voxel phantoms (ICRP, 2009) and the suite of ICRP </w:t>
      </w:r>
      <w:r>
        <w:lastRenderedPageBreak/>
        <w:t xml:space="preserve">reference paediatric voxel phantoms </w:t>
      </w:r>
      <w:r>
        <w:fldChar w:fldCharType="begin"/>
      </w:r>
      <w:r>
        <w:instrText xml:space="preserve"> ADDIN EN.CITE &lt;EndNote&gt;&lt;Cite&gt;&lt;Author&gt;ICRP&lt;/Author&gt;&lt;Year&gt;2020&lt;/Year&gt;&lt;RecNum&gt;11821&lt;/RecNum&gt;&lt;DisplayText&gt;(ICRP, 2020a)&lt;/DisplayText&gt;&lt;record&gt;&lt;rec-number&gt;11821&lt;/rec-number&gt;&lt;foreign-keys&gt;&lt;key app="EN" db-id="rss5s0wzrpx9pwe5a0h5a9wkx9sf2zexde9d" timestamp="1612882712"&gt;11821&lt;/key&gt;&lt;/foreign-keys&gt;&lt;ref-type name="Journal Article"&gt;17&lt;/ref-type&gt;&lt;contributors&gt;&lt;authors&gt;&lt;author&gt;ICRP,&lt;/author&gt;&lt;/authors&gt;&lt;secondary-authors&gt;&lt;author&gt;Sage&lt;/author&gt;&lt;/secondary-authors&gt;&lt;/contributors&gt;&lt;titles&gt;&lt;title&gt;Paediatric Reference Computational Phantoms. ICRP Publication 143&lt;/title&gt;&lt;secondary-title&gt;Annals of the ICRP&lt;/secondary-title&gt;&lt;/titles&gt;&lt;periodical&gt;&lt;full-title&gt;Annals of the ICRP&lt;/full-title&gt;&lt;abbr-1&gt;Ann. ICRP&lt;/abbr-1&gt;&lt;abbr-2&gt;Ann ICRP&lt;/abbr-2&gt;&lt;/periodical&gt;&lt;volume&gt;49&lt;/volume&gt;&lt;number&gt;1&lt;/number&gt;&lt;dates&gt;&lt;year&gt;2020&lt;/year&gt;&lt;/dates&gt;&lt;publisher&gt;International Commission of Radiological Protection&lt;/publisher&gt;&lt;orig-pub&gt;Annals ICRP 49(1)&lt;/orig-pub&gt;&lt;isbn&gt;143&lt;/isbn&gt;&lt;work-type&gt;ICRP Publication&lt;/work-type&gt;&lt;urls&gt;&lt;/urls&gt;&lt;/record&gt;&lt;/Cite&gt;&lt;/EndNote&gt;</w:instrText>
      </w:r>
      <w:r>
        <w:fldChar w:fldCharType="separate"/>
      </w:r>
      <w:r>
        <w:rPr>
          <w:noProof/>
        </w:rPr>
        <w:t>(ICRP, 2020a)</w:t>
      </w:r>
      <w:r>
        <w:fldChar w:fldCharType="end"/>
      </w:r>
      <w:r>
        <w:t xml:space="preserve">. The phantoms are briefly described in Section 2 of this </w:t>
      </w:r>
      <w:bookmarkStart w:id="29" w:name="_Hlk158474628"/>
      <w:r>
        <w:t>publication</w:t>
      </w:r>
      <w:bookmarkEnd w:id="29"/>
      <w:r>
        <w:t>.</w:t>
      </w:r>
    </w:p>
    <w:p w14:paraId="083512DC" w14:textId="77777777" w:rsidR="00E72CA9" w:rsidRDefault="00D516E3">
      <w:pPr>
        <w:pStyle w:val="Annalstext"/>
        <w:numPr>
          <w:ilvl w:val="0"/>
          <w:numId w:val="1"/>
        </w:numPr>
        <w:tabs>
          <w:tab w:val="num" w:pos="502"/>
        </w:tabs>
        <w:ind w:left="0"/>
      </w:pPr>
      <w:r>
        <w:t>Radiographic examinations for which coefficients have been developed were chosen based on their frequency as described by United Nations Scientific Committee on the Effects of Atomic Radiation (</w:t>
      </w:r>
      <w:r>
        <w:rPr>
          <w:noProof/>
        </w:rPr>
        <w:t>UNSCEAR</w:t>
      </w:r>
      <w:r>
        <w:t xml:space="preserve">) </w:t>
      </w:r>
      <w:r>
        <w:fldChar w:fldCharType="begin"/>
      </w:r>
      <w:r>
        <w:instrText xml:space="preserve"> ADDIN EN.CITE &lt;EndNote&gt;&lt;Cite&gt;&lt;Author&gt;UNSCEAR&lt;/Author&gt;&lt;Year&gt;2010&lt;/Year&gt;&lt;RecNum&gt;11222&lt;/RecNum&gt;&lt;DisplayText&gt;(UNSCEAR, 2010)&lt;/DisplayText&gt;&lt;record&gt;&lt;rec-number&gt;11222&lt;/rec-number&gt;&lt;foreign-keys&gt;&lt;key app="EN" db-id="rss5s0wzrpx9pwe5a0h5a9wkx9sf2zexde9d" timestamp="1660234998"&gt;11222&lt;/key&gt;&lt;/foreign-keys&gt;&lt;ref-type name="Report"&gt;27&lt;/ref-type&gt;&lt;contributors&gt;&lt;authors&gt;&lt;author&gt;UNSCEAR,&lt;/author&gt;&lt;/authors&gt;&lt;/contributors&gt;&lt;titles&gt;&lt;title&gt; 2008 Report.  Sources and Effects of Ionising Radiation. Volume 1, Annexe A Medial Radiation Exposures&lt;/title&gt;&lt;/titles&gt;&lt;dates&gt;&lt;year&gt;2010&lt;/year&gt;&lt;/dates&gt;&lt;pub-location&gt;New York&lt;/pub-location&gt;&lt;publisher&gt;United Nations Scientific Committee on the Effects of Atomic Radiation&lt;/publisher&gt;&lt;urls&gt;&lt;/urls&gt;&lt;/record&gt;&lt;/Cite&gt;&lt;/EndNote&gt;</w:instrText>
      </w:r>
      <w:r>
        <w:fldChar w:fldCharType="separate"/>
      </w:r>
      <w:r>
        <w:rPr>
          <w:noProof/>
        </w:rPr>
        <w:t>(UNSCEAR, 2010)</w:t>
      </w:r>
      <w:r>
        <w:fldChar w:fldCharType="end"/>
      </w:r>
      <w:r>
        <w:t xml:space="preserve"> and National Council on Radiation Protection and Measurements (NCRP) </w:t>
      </w:r>
      <w:r>
        <w:fldChar w:fldCharType="begin"/>
      </w:r>
      <w:r>
        <w:instrText xml:space="preserve"> ADDIN EN.CITE &lt;EndNote&gt;&lt;Cite&gt;&lt;Author&gt;NCRP&lt;/Author&gt;&lt;Year&gt;2019&lt;/Year&gt;&lt;RecNum&gt;7706&lt;/RecNum&gt;&lt;DisplayText&gt;(NCRP, 2019)&lt;/DisplayText&gt;&lt;record&gt;&lt;rec-number&gt;7706&lt;/rec-number&gt;&lt;foreign-keys&gt;&lt;key app="EN" db-id="tewdatv2kswps0ep9wgxe0tjvatvprte2wrd" timestamp="1681403224"&gt;7706&lt;/key&gt;&lt;/foreign-keys&gt;&lt;ref-type name="Report"&gt;27&lt;/ref-type&gt;&lt;contributors&gt;&lt;authors&gt;&lt;author&gt;NCRP,&lt;/author&gt;&lt;/authors&gt;&lt;/contributors&gt;&lt;titles&gt;&lt;title&gt;Medical Radiation Exposure of Patients in the United States&lt;/title&gt;&lt;short-title&gt;Report No. 184&amp;#xD;&amp;#xD;ISBN : 9781944888169&lt;/short-title&gt;&lt;/titles&gt;&lt;dates&gt;&lt;year&gt;2019&lt;/year&gt;&lt;/dates&gt;&lt;pub-location&gt;Bethesda, MD&lt;/pub-location&gt;&lt;publisher&gt;National Council on Radiation Protection and Measurements&lt;/publisher&gt;&lt;isbn&gt;184&lt;/isbn&gt;&lt;work-type&gt;NCRP Report&lt;/work-type&gt;&lt;urls&gt;&lt;/urls&gt;&lt;/record&gt;&lt;/Cite&gt;&lt;/EndNote&gt;</w:instrText>
      </w:r>
      <w:r>
        <w:fldChar w:fldCharType="separate"/>
      </w:r>
      <w:r>
        <w:rPr>
          <w:noProof/>
        </w:rPr>
        <w:t>(NCRP, 2019)</w:t>
      </w:r>
      <w:r>
        <w:fldChar w:fldCharType="end"/>
      </w:r>
      <w:r>
        <w:t>. The radiographic examinations selected for paediatric radiography are those that are either commonly performed examinations, as for adult radiography, or those that result in high exposures or exposures to the more radiosensitive organs. For each examination, relevant projections were selected. Dental and mammographic examinations were not considered for either adults or paediatrics. The methodology for examination selection and projection definition is described in Section 3.</w:t>
      </w:r>
    </w:p>
    <w:p w14:paraId="77212E93" w14:textId="77777777" w:rsidR="00E72CA9" w:rsidRDefault="00D516E3">
      <w:pPr>
        <w:pStyle w:val="ICRPnumberedparagraph"/>
        <w:tabs>
          <w:tab w:val="clear" w:pos="2062"/>
          <w:tab w:val="clear" w:pos="5322"/>
          <w:tab w:val="num" w:pos="851"/>
        </w:tabs>
        <w:ind w:left="0"/>
      </w:pPr>
      <w:r>
        <w:t xml:space="preserve">The detail of the Monte Carlo photon transport calculations used to determine organ and effective dose coefficients is presented in Section 4. Two sets of coefficients are provided for each projection. In the first set the data is provided in 1 keV energy bins. The coefficients given in each of the monoenergetic energy bins are given as absorbed dose normalised to fluence at a reference plane defined at 1m from the source. Note that the fluence at the reference plane is always estimated in absence of the phantom. Organ and effective dose coefficients for any user defined x-ray spectra can be then generated using a simple convolution. This first set is for those users who wish to tailor the results to any given beam quality – i.e. allowing for any combination of applied tube potential and filtration.  </w:t>
      </w:r>
    </w:p>
    <w:p w14:paraId="4F04C77F" w14:textId="77777777" w:rsidR="00E72CA9" w:rsidRDefault="00D516E3">
      <w:pPr>
        <w:pStyle w:val="ICRPnumberedparagraph"/>
        <w:ind w:left="0"/>
      </w:pPr>
      <w:r>
        <w:t>For those users who do not need such fine tuning, organ absorbed dose coefficients are provided for selected bremsstrahlung spectra between 50 and 120 kV and total filtration between 2.5 and 3.5 mm Al as well as an additional 0.1 mm Cu in the case of paediatric projections. The coefficients are normalised to KAP (</w:t>
      </w:r>
      <w:r>
        <w:rPr>
          <w:i/>
        </w:rPr>
        <w:t>P</w:t>
      </w:r>
      <w:r>
        <w:rPr>
          <w:vertAlign w:val="subscript"/>
        </w:rPr>
        <w:t>KA</w:t>
      </w:r>
      <w:r>
        <w:t>)</w:t>
      </w:r>
      <w:r>
        <w:rPr>
          <w:i/>
        </w:rPr>
        <w:t xml:space="preserve"> </w:t>
      </w:r>
      <w:r>
        <w:rPr>
          <w:iCs/>
        </w:rPr>
        <w:t>(Gy cm</w:t>
      </w:r>
      <w:r>
        <w:rPr>
          <w:iCs/>
          <w:vertAlign w:val="superscript"/>
        </w:rPr>
        <w:t>2</w:t>
      </w:r>
      <w:r>
        <w:rPr>
          <w:i/>
        </w:rPr>
        <w:t>)</w:t>
      </w:r>
      <w:r>
        <w:t>, air kerma free-in-air at 1 m (Gy) and fluence at 1 m (cm</w:t>
      </w:r>
      <w:r>
        <w:rPr>
          <w:vertAlign w:val="superscript"/>
        </w:rPr>
        <w:t>−2</w:t>
      </w:r>
      <w:r>
        <w:t>) from the x-ray tube.  A description of the method used to obtain these dose coefficients, including the convolution method, can be found in Section 5.</w:t>
      </w:r>
    </w:p>
    <w:p w14:paraId="056623FD" w14:textId="77777777" w:rsidR="00E72CA9" w:rsidRDefault="00D516E3">
      <w:pPr>
        <w:pStyle w:val="ICRPnumberedparagraph"/>
        <w:ind w:left="0"/>
      </w:pPr>
      <w:r>
        <w:t xml:space="preserve">Effective dose, </w:t>
      </w:r>
      <w:r>
        <w:rPr>
          <w:i/>
        </w:rPr>
        <w:t>E</w:t>
      </w:r>
      <w:r>
        <w:t xml:space="preserve">, is defined in </w:t>
      </w:r>
      <w:r>
        <w:rPr>
          <w:iCs/>
        </w:rPr>
        <w:t>ICRP</w:t>
      </w:r>
      <w:r>
        <w:rPr>
          <w:i/>
        </w:rPr>
        <w:t xml:space="preserve"> Publication 103 </w:t>
      </w:r>
      <w:r>
        <w:t>(ICRP, 2007b)</w:t>
      </w:r>
      <w:r>
        <w:rPr>
          <w:i/>
        </w:rPr>
        <w:t xml:space="preserve"> </w:t>
      </w:r>
      <w:r>
        <w:t xml:space="preserve">using the equation: </w:t>
      </w:r>
    </w:p>
    <w:p w14:paraId="3A7F5403" w14:textId="77777777" w:rsidR="00E72CA9" w:rsidRDefault="00D516E3">
      <w:pPr>
        <w:pStyle w:val="ICRPnumberedparagraph"/>
        <w:numPr>
          <w:ilvl w:val="0"/>
          <w:numId w:val="0"/>
        </w:numPr>
        <w:ind w:left="284"/>
        <w:jc w:val="right"/>
      </w:pPr>
      <w:r>
        <w:rPr>
          <w:noProof/>
          <w:position w:val="-32"/>
          <w:lang w:eastAsia="en-GB"/>
        </w:rPr>
        <w:drawing>
          <wp:inline distT="0" distB="0" distL="0" distR="0" wp14:anchorId="3033E371" wp14:editId="51A925F7">
            <wp:extent cx="1437005" cy="487680"/>
            <wp:effectExtent l="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437005" cy="487680"/>
                    </a:xfrm>
                    <a:prstGeom prst="rect">
                      <a:avLst/>
                    </a:prstGeom>
                    <a:noFill/>
                    <a:ln>
                      <a:noFill/>
                    </a:ln>
                  </pic:spPr>
                </pic:pic>
              </a:graphicData>
            </a:graphic>
          </wp:inline>
        </w:drawing>
      </w:r>
      <w:r>
        <w:tab/>
        <w:t>(1.1)</w:t>
      </w:r>
    </w:p>
    <w:p w14:paraId="41C6CC49" w14:textId="77777777" w:rsidR="00E72CA9" w:rsidRDefault="00D516E3">
      <w:pPr>
        <w:pStyle w:val="ICRPnumberedparagraph"/>
        <w:numPr>
          <w:ilvl w:val="0"/>
          <w:numId w:val="0"/>
        </w:numPr>
        <w:spacing w:before="120"/>
        <w:rPr>
          <w:szCs w:val="24"/>
        </w:rPr>
      </w:pPr>
      <w:r>
        <w:t xml:space="preserve">where   </w:t>
      </w:r>
      <m:oMath>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M</m:t>
            </m:r>
          </m:sup>
        </m:sSubSup>
        <m:r>
          <w:rPr>
            <w:rFonts w:ascii="Cambria Math" w:hAnsi="Cambria Math"/>
            <w:lang w:eastAsia="en-GB"/>
          </w:rPr>
          <m:t xml:space="preserve"> </m:t>
        </m:r>
        <m:r>
          <m:rPr>
            <m:sty m:val="p"/>
          </m:rPr>
          <w:rPr>
            <w:rFonts w:ascii="Cambria Math" w:hAnsi="Cambria Math"/>
            <w:lang w:eastAsia="en-GB"/>
          </w:rPr>
          <m:t>and</m:t>
        </m:r>
        <m:r>
          <w:rPr>
            <w:rFonts w:ascii="Cambria Math" w:hAnsi="Cambria Math"/>
            <w:lang w:eastAsia="en-GB"/>
          </w:rPr>
          <m:t xml:space="preserve"> </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F</m:t>
            </m:r>
          </m:sup>
        </m:sSubSup>
      </m:oMath>
      <w:r>
        <w:rPr>
          <w:sz w:val="20"/>
          <w:szCs w:val="20"/>
          <w:lang w:eastAsia="en-GB"/>
        </w:rPr>
        <w:t xml:space="preserve"> </w:t>
      </w:r>
      <w:r>
        <w:t xml:space="preserve">are the equivalent doses to the tissues or organs </w:t>
      </w:r>
      <w:r>
        <w:rPr>
          <w:i/>
        </w:rPr>
        <w:t>T</w:t>
      </w:r>
      <w:r>
        <w:t xml:space="preserve"> of the Reference Male and Female, respectively, and </w:t>
      </w:r>
      <w:proofErr w:type="spellStart"/>
      <w:r>
        <w:rPr>
          <w:i/>
        </w:rPr>
        <w:t>w</w:t>
      </w:r>
      <w:r>
        <w:rPr>
          <w:vertAlign w:val="subscript"/>
        </w:rPr>
        <w:t>T</w:t>
      </w:r>
      <w:proofErr w:type="spellEnd"/>
      <w:r>
        <w:t xml:space="preserve"> is the tissue weighting factor for target tissue </w:t>
      </w:r>
      <w:r>
        <w:rPr>
          <w:iCs/>
        </w:rPr>
        <w:t>T</w:t>
      </w:r>
      <w:r>
        <w:t xml:space="preserve">, with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 1</m:t>
        </m:r>
      </m:oMath>
      <w:r>
        <w:t xml:space="preserve">. Effective dose is thus a sex averaged quantity. This definition is valid for all ICRP reference ages. This publication provides organ absorbed dose coefficients for both male and female phantoms. It also provides, for each examination, a value of the coefficient for either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M</m:t>
            </m:r>
          </m:sup>
        </m:sSubSup>
        <m:r>
          <w:rPr>
            <w:rFonts w:ascii="Cambria Math" w:hAnsi="Cambria Math"/>
          </w:rPr>
          <m:t xml:space="preserve"> </m:t>
        </m:r>
      </m:oMath>
      <w:r>
        <w:t xml:space="preserve"> or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F</m:t>
            </m:r>
          </m:sup>
        </m:sSubSup>
      </m:oMath>
      <w:r>
        <w:rPr>
          <w:sz w:val="20"/>
          <w:szCs w:val="20"/>
          <w:lang w:eastAsia="en-GB"/>
        </w:rPr>
        <w:t xml:space="preserve">, </w:t>
      </w:r>
      <w:r>
        <w:rPr>
          <w:szCs w:val="24"/>
          <w:lang w:eastAsia="en-GB"/>
        </w:rPr>
        <w:t>depending on whether the examination is performed on the male or female phantom. The effective dose coefficient for an examination can be obtained by taking the average of the two.</w:t>
      </w:r>
      <w:r>
        <w:rPr>
          <w:szCs w:val="24"/>
        </w:rPr>
        <w:t xml:space="preserve"> For ease of reproduction and to avoid possible confusion, the two quantities are given the nomenclature </w:t>
      </w:r>
      <m:oMath>
        <m:sSub>
          <m:sSubPr>
            <m:ctrlPr>
              <w:rPr>
                <w:rFonts w:ascii="Cambria Math" w:hAnsi="Cambria Math"/>
                <w:i/>
                <w:szCs w:val="24"/>
              </w:rPr>
            </m:ctrlPr>
          </m:sSubPr>
          <m:e>
            <m:r>
              <w:rPr>
                <w:rFonts w:ascii="Cambria Math" w:hAnsi="Cambria Math"/>
                <w:szCs w:val="24"/>
              </w:rPr>
              <m:t>E</m:t>
            </m:r>
          </m:e>
          <m:sub>
            <m:r>
              <m:rPr>
                <m:sty m:val="p"/>
              </m:rPr>
              <w:rPr>
                <w:rFonts w:ascii="Cambria Math" w:hAnsi="Cambria Math"/>
                <w:szCs w:val="24"/>
              </w:rPr>
              <m:t>103, xxM</m:t>
            </m:r>
          </m:sub>
        </m:sSub>
      </m:oMath>
      <w:r>
        <w:rPr>
          <w:vertAlign w:val="subscript"/>
        </w:rPr>
        <w:t xml:space="preserve"> </w:t>
      </w:r>
      <w:r>
        <w:t xml:space="preserve">or, </w:t>
      </w:r>
      <m:oMath>
        <m:sSub>
          <m:sSubPr>
            <m:ctrlPr>
              <w:rPr>
                <w:rFonts w:ascii="Cambria Math" w:hAnsi="Cambria Math"/>
                <w:i/>
                <w:szCs w:val="24"/>
              </w:rPr>
            </m:ctrlPr>
          </m:sSubPr>
          <m:e>
            <m:r>
              <w:rPr>
                <w:rFonts w:ascii="Cambria Math" w:hAnsi="Cambria Math"/>
                <w:szCs w:val="24"/>
              </w:rPr>
              <m:t>E</m:t>
            </m:r>
          </m:e>
          <m:sub>
            <m:r>
              <m:rPr>
                <m:sty m:val="p"/>
              </m:rPr>
              <w:rPr>
                <w:rFonts w:ascii="Cambria Math" w:hAnsi="Cambria Math"/>
                <w:szCs w:val="24"/>
              </w:rPr>
              <m:t>103, xxF</m:t>
            </m:r>
          </m:sub>
        </m:sSub>
        <m:r>
          <w:rPr>
            <w:rFonts w:ascii="Cambria Math" w:hAnsi="Cambria Math"/>
            <w:szCs w:val="24"/>
          </w:rPr>
          <m:t xml:space="preserve"> </m:t>
        </m:r>
      </m:oMath>
      <w:r>
        <w:t xml:space="preserve">where xx refers to the age of the phantom being used and M or F signify male or female. For example, </w:t>
      </w:r>
      <m:oMath>
        <m:sSub>
          <m:sSubPr>
            <m:ctrlPr>
              <w:rPr>
                <w:rFonts w:ascii="Cambria Math" w:hAnsi="Cambria Math"/>
                <w:i/>
                <w:szCs w:val="24"/>
              </w:rPr>
            </m:ctrlPr>
          </m:sSubPr>
          <m:e>
            <m:r>
              <w:rPr>
                <w:rFonts w:ascii="Cambria Math" w:hAnsi="Cambria Math"/>
                <w:szCs w:val="24"/>
              </w:rPr>
              <m:t>E</m:t>
            </m:r>
          </m:e>
          <m:sub>
            <m:r>
              <m:rPr>
                <m:sty m:val="p"/>
              </m:rPr>
              <w:rPr>
                <w:rFonts w:ascii="Cambria Math" w:hAnsi="Cambria Math"/>
                <w:szCs w:val="24"/>
              </w:rPr>
              <m:t>103, AM</m:t>
            </m:r>
          </m:sub>
        </m:sSub>
      </m:oMath>
      <w:r>
        <w:t xml:space="preserve">  refers to the coefficient of the quantity </w:t>
      </w: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M</m:t>
            </m:r>
          </m:sup>
        </m:sSubSup>
        <m:r>
          <w:rPr>
            <w:rFonts w:ascii="Cambria Math" w:hAnsi="Cambria Math"/>
          </w:rPr>
          <m:t xml:space="preserve"> </m:t>
        </m:r>
      </m:oMath>
      <w:r>
        <w:t xml:space="preserve"> resulting from an examination on an adult male phantom and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103, 01F</m:t>
            </m:r>
          </m:sub>
        </m:sSub>
      </m:oMath>
      <w:r>
        <w:rPr>
          <w:szCs w:val="24"/>
        </w:rPr>
        <w:t xml:space="preserve"> </w:t>
      </w:r>
      <w:r>
        <w:t xml:space="preserve">refers to the coefficient of the quantity </w:t>
      </w: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F</m:t>
            </m:r>
          </m:sup>
        </m:sSubSup>
      </m:oMath>
      <w:r>
        <w:t xml:space="preserve">resulting from an examination on a 1- year-old female phantom.  </w:t>
      </w:r>
    </w:p>
    <w:p w14:paraId="0297D428" w14:textId="77777777" w:rsidR="00E72CA9" w:rsidRDefault="00D516E3">
      <w:pPr>
        <w:pStyle w:val="ICRPnumberedparagraph"/>
        <w:ind w:left="0"/>
      </w:pPr>
      <w:r>
        <w:t>All the coefficients generated are provided in the electronic annex to this publication. A separate dose viewer is provided to enable users to quickly access the results pertaining to the selected bremsstrahlung spectra.</w:t>
      </w:r>
    </w:p>
    <w:p w14:paraId="15B2A886" w14:textId="77777777" w:rsidR="00E72CA9" w:rsidRDefault="00D516E3">
      <w:pPr>
        <w:pStyle w:val="ICRPnumberedparagraph"/>
        <w:ind w:left="0"/>
      </w:pPr>
      <w:r>
        <w:t xml:space="preserve"> The target audience for this publication includes all those who have an interest in patient dosimetry and optimisation, including national authorities responsible for dose </w:t>
      </w:r>
      <w:r>
        <w:lastRenderedPageBreak/>
        <w:t xml:space="preserve">calculations, medical physicists, research scientists, radiologists, radiographers and other radiological practitioners. The publication is the first of a series reporting organ absorbed and effective doses for a range of diagnostic x-ray modalities including radiography, computed tomography, fluoroscopically guided interventional radiology and diagnostic paediatric fluoroscopy. The work will also be extended to consider the case of pregnant and non-reference patients. </w:t>
      </w:r>
    </w:p>
    <w:p w14:paraId="01F7D3AF" w14:textId="77777777" w:rsidR="00E72CA9" w:rsidRDefault="00D516E3">
      <w:pPr>
        <w:rPr>
          <w:snapToGrid w:val="0"/>
          <w:szCs w:val="20"/>
          <w:lang w:eastAsia="sv-SE"/>
        </w:rPr>
      </w:pPr>
      <w:r>
        <w:br w:type="page"/>
      </w:r>
    </w:p>
    <w:p w14:paraId="1B809121" w14:textId="77777777" w:rsidR="00E72CA9" w:rsidRDefault="00D516E3">
      <w:pPr>
        <w:pStyle w:val="1"/>
      </w:pPr>
      <w:bookmarkStart w:id="30" w:name="_Toc158293322"/>
      <w:bookmarkStart w:id="31" w:name="_Toc158293648"/>
      <w:bookmarkStart w:id="32" w:name="_Toc165302034"/>
      <w:r>
        <w:lastRenderedPageBreak/>
        <w:t>THE ICRP REFERENCE PHANTOMS</w:t>
      </w:r>
      <w:bookmarkEnd w:id="30"/>
      <w:bookmarkEnd w:id="31"/>
      <w:bookmarkEnd w:id="32"/>
    </w:p>
    <w:p w14:paraId="2E4C6D71" w14:textId="77777777" w:rsidR="00E72CA9" w:rsidRDefault="00D516E3">
      <w:pPr>
        <w:pStyle w:val="2"/>
      </w:pPr>
      <w:bookmarkStart w:id="33" w:name="_Toc158293323"/>
      <w:bookmarkStart w:id="34" w:name="_Toc158293649"/>
      <w:bookmarkStart w:id="35" w:name="_Toc165302035"/>
      <w:r>
        <w:t>Adult reference computational phantoms</w:t>
      </w:r>
      <w:bookmarkEnd w:id="33"/>
      <w:bookmarkEnd w:id="34"/>
      <w:bookmarkEnd w:id="35"/>
    </w:p>
    <w:p w14:paraId="450F5959" w14:textId="77777777" w:rsidR="00E72CA9" w:rsidRDefault="00D516E3">
      <w:pPr>
        <w:pStyle w:val="Annalstext"/>
        <w:numPr>
          <w:ilvl w:val="0"/>
          <w:numId w:val="1"/>
        </w:numPr>
        <w:ind w:left="0"/>
      </w:pPr>
      <w:r>
        <w:t xml:space="preserve">Computational phantoms of the human body, together with radiation transport codes, have been employed for many years in the evaluation of organ dose coefficients in occupational, environmental and medical radiation protection. During the last two decades, voxel phantoms that are derived mostly from (whole-body) medical image data of real persons instead of the older stylised computational body phantoms have been introduced. A voxel (volume element) is a rectangular cuboid specifying the organ or tissue – each organ/tissue consists of a large number of voxels. A voxel phantom (or model) is a three-dimensional representation of the human body in the form of an array of identification numbers, arranged in slices, rows, and columns. Each entry in this array represents a tissue voxel; organs are then represented by those voxels having the same identification number and are spatially arranged to represent the organ volume. More information on voxel phantoms, their development and use can be found elsewhere </w:t>
      </w:r>
      <w:r>
        <w:fldChar w:fldCharType="begin"/>
      </w:r>
      <w:r>
        <w:instrText xml:space="preserve"> ADDIN EN.CITE &lt;EndNote&gt;&lt;Cite&gt;&lt;Author&gt;Xu&lt;/Author&gt;&lt;Year&gt;2010&lt;/Year&gt;&lt;RecNum&gt;9029&lt;/RecNum&gt;&lt;DisplayText&gt;(Xu and Eckerman, 2010)&lt;/DisplayText&gt;&lt;record&gt;&lt;rec-number&gt;9029&lt;/rec-number&gt;&lt;ref-type name="Edited Book"&gt;28&lt;/ref-type&gt;&lt;contributors&gt;&lt;authors&gt;&lt;author&gt;Xu, X.G. &lt;/author&gt;&lt;author&gt;Eckerman, K.F. &lt;/author&gt;&lt;/authors&gt;&lt;secondary-authors&gt;&lt;author&gt;Xu, X.G. &lt;/author&gt;&lt;author&gt;Eckerman, K.F. &lt;/author&gt;&lt;/secondary-authors&gt;&lt;tertiary-authors&gt;&lt;author&gt;Webster, J.G.&lt;/author&gt;&lt;author&gt;Ritenour, E.R.&lt;/author&gt;&lt;author&gt;Tabakov, S.&lt;/author&gt;&lt;author&gt;Ng, K.-H.&lt;/author&gt;&lt;/tertiary-authors&gt;&lt;/contributors&gt;&lt;titles&gt;&lt;title&gt;Handbook of anatomical models for radiation dosimetry&amp;#xD;&lt;/title&gt;&lt;secondary-title&gt;Handbook of anatomical models for radiation dosimetry&lt;/secondary-title&gt;&lt;tertiary-title&gt;Series in Medical Physics and Biomedical Engineering&lt;/tertiary-title&gt;&lt;/titles&gt;&lt;dates&gt;&lt;year&gt;2010&lt;/year&gt;&lt;/dates&gt;&lt;pub-location&gt;Boca Raton, London, New York&lt;/pub-location&gt;&lt;publisher&gt;Taylor &amp;amp; Francis&lt;/publisher&gt;&lt;isbn&gt;978-1-4200-5979-3&lt;/isbn&gt;&lt;urls&gt;&lt;/urls&gt;&lt;electronic-resource-num&gt;978-1-4200-5980-9&lt;/electronic-resource-num&gt;&lt;/record&gt;&lt;/Cite&gt;&lt;/EndNote&gt;</w:instrText>
      </w:r>
      <w:r>
        <w:fldChar w:fldCharType="separate"/>
      </w:r>
      <w:r>
        <w:rPr>
          <w:noProof/>
        </w:rPr>
        <w:t>(Xu and Eckerman, 2010)</w:t>
      </w:r>
      <w:r>
        <w:fldChar w:fldCharType="end"/>
      </w:r>
      <w:r>
        <w:t>.</w:t>
      </w:r>
    </w:p>
    <w:p w14:paraId="78E3883D" w14:textId="77777777" w:rsidR="00E72CA9" w:rsidRDefault="00D516E3">
      <w:pPr>
        <w:pStyle w:val="Annalstext"/>
        <w:numPr>
          <w:ilvl w:val="0"/>
          <w:numId w:val="1"/>
        </w:numPr>
        <w:ind w:left="0"/>
      </w:pPr>
      <w:r>
        <w:t xml:space="preserve">For the computation of organ absorbed doses, the adult male and female reference computational phantoms, representing the ICRP Reference Adult Male and Reference Adult Female are used in this publication. These phantoms were adopted by ICRP and ICRU as the phantoms for the computation of the ICRP reference dose coefficients and are extensively described in </w:t>
      </w:r>
      <w:r>
        <w:rPr>
          <w:i/>
        </w:rPr>
        <w:t>Publication 110</w:t>
      </w:r>
      <w:r>
        <w:t xml:space="preserve"> </w:t>
      </w:r>
      <w:r>
        <w:fldChar w:fldCharType="begin"/>
      </w:r>
      <w:r>
        <w:instrText xml:space="preserve"> ADDIN EN.CITE &lt;EndNote&gt;&lt;Cite&gt;&lt;Author&gt;ICRP&lt;/Author&gt;&lt;Year&gt;2009&lt;/Year&gt;&lt;RecNum&gt;3450&lt;/RecNum&gt;&lt;DisplayText&gt;(ICRP, 2009a)&lt;/DisplayText&gt;&lt;record&gt;&lt;rec-number&gt;3450&lt;/rec-number&gt;&lt;foreign-keys&gt;&lt;key app="EN" db-id="tewdatv2kswps0ep9wgxe0tjvatvprte2wrd" timestamp="1681399866"&gt;3450&lt;/key&gt;&lt;/foreign-keys&gt;&lt;ref-type name="Report"&gt;27&lt;/ref-type&gt;&lt;contributors&gt;&lt;authors&gt;&lt;author&gt;ICRP,&lt;/author&gt;&lt;/authors&gt;&lt;secondary-authors&gt;&lt;author&gt;Elsevier&lt;/author&gt;&lt;/secondary-authors&gt;&lt;/contributors&gt;&lt;titles&gt;&lt;title&gt;Adult reference computational phantoms&lt;/title&gt;&lt;secondary-title&gt;ICRP Publication 110&lt;/secondary-title&gt;&lt;/titles&gt;&lt;dates&gt;&lt;year&gt;2009&lt;/year&gt;&lt;/dates&gt;&lt;pub-location&gt;Oxford, UK&lt;/pub-location&gt;&lt;publisher&gt;International Commission on Radiological Protection&lt;/publisher&gt;&lt;orig-pub&gt;Ann. ICRP 39(2)&lt;/orig-pub&gt;&lt;isbn&gt;ICRP Publication 110&lt;/isbn&gt;&lt;work-type&gt;ICRP Publication&lt;/work-type&gt;&lt;urls&gt;&lt;/urls&gt;&lt;/record&gt;&lt;/Cite&gt;&lt;/EndNote&gt;</w:instrText>
      </w:r>
      <w:r>
        <w:fldChar w:fldCharType="separate"/>
      </w:r>
      <w:r>
        <w:rPr>
          <w:noProof/>
        </w:rPr>
        <w:t>(ICRP, 2009a)</w:t>
      </w:r>
      <w:r>
        <w:fldChar w:fldCharType="end"/>
      </w:r>
      <w:r>
        <w:t xml:space="preserve">. The reference computational phantoms are based on human computed tomographic (CT) data and were constructed by modifying the voxel phantoms </w:t>
      </w:r>
      <w:r>
        <w:fldChar w:fldCharType="begin"/>
      </w:r>
      <w:r>
        <w:instrText xml:space="preserve"> ADDIN EN.CITE &lt;EndNote&gt;&lt;Cite&gt;&lt;Author&gt;Zankl&lt;/Author&gt;&lt;Year&gt;2005&lt;/Year&gt;&lt;RecNum&gt;1866&lt;/RecNum&gt;&lt;DisplayText&gt;(Zankl and Wittmann, 2001; Zankl et al., 2005)&lt;/DisplayText&gt;&lt;record&gt;&lt;rec-number&gt;1866&lt;/rec-number&gt;&lt;foreign-keys&gt;&lt;key app="EN" db-id="rss5s0wzrpx9pwe5a0h5a9wkx9sf2zexde9d" timestamp="0"&gt;1866&lt;/key&gt;&lt;/foreign-keys&gt;&lt;ref-type name="Conference Proceedings"&gt;10&lt;/ref-type&gt;&lt;contributors&gt;&lt;authors&gt;&lt;author&gt;Zankl, M.&lt;/author&gt;&lt;author&gt;Becker, J.&lt;/author&gt;&lt;author&gt;Fill, U.&lt;/author&gt;&lt;author&gt;Petoussi-Henß, N., &lt;/author&gt;&lt;author&gt;Eckerman, K.F&lt;/author&gt;&lt;/authors&gt;&lt;/contributors&gt;&lt;titles&gt;&lt;title&gt;GSF male and female adult voxel models representing ICRP Reference Man - the present status&lt;/title&gt;&lt;secondary-title&gt;The Monte Carlo Method: Versatility Unbounded in a Dynamic Computing World&lt;/secondary-title&gt;&lt;/titles&gt;&lt;dates&gt;&lt;year&gt;2005&lt;/year&gt;&lt;/dates&gt;&lt;pub-location&gt;Chattanooga, TN, USA.&lt;/pub-location&gt;&lt;publisher&gt;La Grange Park, USA: American Nuclear Society&lt;/publisher&gt;&lt;urls&gt;&lt;/urls&gt;&lt;/record&gt;&lt;/Cite&gt;&lt;Cite&gt;&lt;Author&gt;Zankl&lt;/Author&gt;&lt;Year&gt;2001&lt;/Year&gt;&lt;RecNum&gt;2319&lt;/RecNum&gt;&lt;record&gt;&lt;rec-number&gt;2319&lt;/rec-number&gt;&lt;foreign-keys&gt;&lt;key app="EN" db-id="rss5s0wzrpx9pwe5a0h5a9wkx9sf2zexde9d" timestamp="0"&gt;2319&lt;/key&gt;&lt;/foreign-keys&gt;&lt;ref-type name="Journal Article"&gt;17&lt;/ref-type&gt;&lt;contributors&gt;&lt;authors&gt;&lt;author&gt;Zankl, M.&lt;/author&gt;&lt;author&gt;Wittmann, A.&lt;/author&gt;&lt;/authors&gt;&lt;/contributors&gt;&lt;titles&gt;&lt;title&gt;The adult male voxel model &amp;quot;Golem&amp;quot; segmented from whole body CT patient data&lt;/title&gt;&lt;secondary-title&gt;Radiation and Environmental Biophysics&lt;/secondary-title&gt;&lt;/titles&gt;&lt;pages&gt;153-162&lt;/pages&gt;&lt;volume&gt;40&lt;/volume&gt;&lt;dates&gt;&lt;year&gt;2001&lt;/year&gt;&lt;/dates&gt;&lt;urls&gt;&lt;/urls&gt;&lt;/record&gt;&lt;/Cite&gt;&lt;/EndNote&gt;</w:instrText>
      </w:r>
      <w:r>
        <w:fldChar w:fldCharType="separate"/>
      </w:r>
      <w:r>
        <w:rPr>
          <w:noProof/>
        </w:rPr>
        <w:t>(Zankl and Wittmann, 2001; Zankl et al., 2005)</w:t>
      </w:r>
      <w:r>
        <w:fldChar w:fldCharType="end"/>
      </w:r>
      <w:r>
        <w:t xml:space="preserve"> of two individuals (Golem and Laura) whose body height and mass closely resembled the reference data given in </w:t>
      </w:r>
      <w:r>
        <w:rPr>
          <w:i/>
        </w:rPr>
        <w:t>Publication 89</w:t>
      </w:r>
      <w:r>
        <w:t xml:space="preserve"> (ICRP, 2002) on the Reference Male and Reference Female. The reference values for standing height and body mass of the ICRP reference individuals can be seen in Table 2.1. The organ masses of both phantoms were adjusted to the reference data with high precision, without significantly altering their realistic anatomy. The phantoms contain all target regions relevant to the assessment of human exposure to ionising radiation for radiological protection purposes, including all tissues and organs that contribute to the protection quantity effective dose </w:t>
      </w:r>
      <w:r>
        <w:fldChar w:fldCharType="begin"/>
      </w:r>
      <w:r>
        <w:instrText xml:space="preserve"> ADDIN EN.CITE &lt;EndNote&gt;&lt;Cite&gt;&lt;Author&gt;ICRP&lt;/Author&gt;&lt;Year&gt;2007&lt;/Year&gt;&lt;RecNum&gt;1551&lt;/RecNum&gt;&lt;DisplayText&gt;(ICRP, 2007b)&lt;/DisplayText&gt;&lt;record&gt;&lt;rec-number&gt;1551&lt;/rec-number&gt;&lt;foreign-keys&gt;&lt;key app="EN" db-id="tewdatv2kswps0ep9wgxe0tjvatvprte2wrd" timestamp="1681399860"&gt;1551&lt;/key&gt;&lt;/foreign-keys&gt;&lt;ref-type name="Report"&gt;27&lt;/ref-type&gt;&lt;contributors&gt;&lt;authors&gt;&lt;author&gt;ICRP,&lt;/author&gt;&lt;/authors&gt;&lt;secondary-authors&gt;&lt;author&gt;International Commission on Radiological Protection&lt;/author&gt;&lt;/secondary-authors&gt;&lt;/contributors&gt;&lt;titles&gt;&lt;title&gt;The 2007 Recommendations of the International Commission on Radiological Protection&lt;/title&gt;&lt;secondary-title&gt;ICRP Publication 103&lt;/secondary-title&gt;&lt;/titles&gt;&lt;keywords&gt;&lt;keyword&gt;Justification&lt;/keyword&gt;&lt;keyword&gt;Optimisation&lt;/keyword&gt;&lt;keyword&gt;Dose limits&lt;/keyword&gt;&lt;keyword&gt;Constraints&lt;/keyword&gt;&lt;keyword&gt;Reference Levels&lt;/keyword&gt;&lt;/keywords&gt;&lt;dates&gt;&lt;year&gt;2007&lt;/year&gt;&lt;/dates&gt;&lt;pub-location&gt;Oxford, UK&lt;/pub-location&gt;&lt;publisher&gt;Elsevier&lt;/publisher&gt;&lt;orig-pub&gt;Ann. ICRP 37(2-4)&lt;/orig-pub&gt;&lt;isbn&gt;ICRP Publication 103&lt;/isbn&gt;&lt;work-type&gt;ICRP Publication&lt;/work-type&gt;&lt;urls&gt;&lt;/urls&gt;&lt;/record&gt;&lt;/Cite&gt;&lt;/EndNote&gt;</w:instrText>
      </w:r>
      <w:r>
        <w:fldChar w:fldCharType="separate"/>
      </w:r>
      <w:r>
        <w:rPr>
          <w:noProof/>
        </w:rPr>
        <w:t>(ICRP, 2007b)</w:t>
      </w:r>
      <w:r>
        <w:fldChar w:fldCharType="end"/>
      </w:r>
      <w:r>
        <w:t>.</w:t>
      </w:r>
    </w:p>
    <w:p w14:paraId="4BEE955A" w14:textId="77777777" w:rsidR="00E72CA9" w:rsidRDefault="00E72CA9">
      <w:pPr>
        <w:pStyle w:val="Annalstext"/>
        <w:tabs>
          <w:tab w:val="clear" w:pos="502"/>
          <w:tab w:val="clear" w:pos="644"/>
        </w:tabs>
        <w:ind w:left="0" w:firstLine="142"/>
      </w:pPr>
    </w:p>
    <w:p w14:paraId="1AE48E04" w14:textId="77777777" w:rsidR="00E72CA9" w:rsidRDefault="00D516E3">
      <w:pPr>
        <w:pStyle w:val="Annalstext"/>
        <w:tabs>
          <w:tab w:val="clear" w:pos="502"/>
          <w:tab w:val="clear" w:pos="644"/>
        </w:tabs>
        <w:ind w:left="0" w:firstLine="0"/>
      </w:pPr>
      <w:r>
        <w:t xml:space="preserve">Table 2.1. Reference values for standing height and body mass for the ICRP reference individuals (ICRP, 2002). </w:t>
      </w:r>
    </w:p>
    <w:tbl>
      <w:tblPr>
        <w:tblStyle w:val="a8"/>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E72CA9" w14:paraId="530E673E" w14:textId="77777777">
        <w:tc>
          <w:tcPr>
            <w:tcW w:w="1803" w:type="dxa"/>
            <w:tcBorders>
              <w:top w:val="single" w:sz="4" w:space="0" w:color="auto"/>
              <w:bottom w:val="nil"/>
            </w:tcBorders>
          </w:tcPr>
          <w:p w14:paraId="4D28EDA5" w14:textId="77777777" w:rsidR="00E72CA9" w:rsidRDefault="00E72CA9">
            <w:pPr>
              <w:pStyle w:val="Annalstext"/>
              <w:tabs>
                <w:tab w:val="clear" w:pos="502"/>
                <w:tab w:val="clear" w:pos="644"/>
              </w:tabs>
              <w:ind w:left="0" w:firstLine="0"/>
            </w:pPr>
          </w:p>
        </w:tc>
        <w:tc>
          <w:tcPr>
            <w:tcW w:w="3606" w:type="dxa"/>
            <w:gridSpan w:val="2"/>
            <w:tcBorders>
              <w:top w:val="single" w:sz="4" w:space="0" w:color="auto"/>
              <w:bottom w:val="single" w:sz="4" w:space="0" w:color="auto"/>
            </w:tcBorders>
          </w:tcPr>
          <w:p w14:paraId="3631A3A4" w14:textId="77777777" w:rsidR="00E72CA9" w:rsidRDefault="00D516E3">
            <w:pPr>
              <w:pStyle w:val="Annalstext"/>
              <w:tabs>
                <w:tab w:val="clear" w:pos="502"/>
                <w:tab w:val="clear" w:pos="644"/>
              </w:tabs>
              <w:ind w:left="0" w:firstLine="0"/>
              <w:jc w:val="center"/>
            </w:pPr>
            <w:r>
              <w:t>Height (cm)</w:t>
            </w:r>
          </w:p>
        </w:tc>
        <w:tc>
          <w:tcPr>
            <w:tcW w:w="3607" w:type="dxa"/>
            <w:gridSpan w:val="2"/>
            <w:tcBorders>
              <w:top w:val="single" w:sz="4" w:space="0" w:color="auto"/>
              <w:bottom w:val="single" w:sz="4" w:space="0" w:color="auto"/>
            </w:tcBorders>
          </w:tcPr>
          <w:p w14:paraId="295F961C" w14:textId="77777777" w:rsidR="00E72CA9" w:rsidRDefault="00D516E3">
            <w:pPr>
              <w:pStyle w:val="Annalstext"/>
              <w:tabs>
                <w:tab w:val="clear" w:pos="502"/>
                <w:tab w:val="clear" w:pos="644"/>
              </w:tabs>
              <w:ind w:left="0" w:firstLine="0"/>
              <w:jc w:val="center"/>
            </w:pPr>
            <w:r>
              <w:t>Mass (kg)</w:t>
            </w:r>
          </w:p>
        </w:tc>
      </w:tr>
      <w:tr w:rsidR="00E72CA9" w14:paraId="1A53AAE0" w14:textId="77777777">
        <w:tc>
          <w:tcPr>
            <w:tcW w:w="1803" w:type="dxa"/>
            <w:tcBorders>
              <w:top w:val="nil"/>
              <w:bottom w:val="single" w:sz="4" w:space="0" w:color="auto"/>
            </w:tcBorders>
          </w:tcPr>
          <w:p w14:paraId="6A9BA2C4" w14:textId="77777777" w:rsidR="00E72CA9" w:rsidRDefault="00E72CA9">
            <w:pPr>
              <w:pStyle w:val="Annalstext"/>
              <w:tabs>
                <w:tab w:val="clear" w:pos="502"/>
                <w:tab w:val="clear" w:pos="644"/>
              </w:tabs>
              <w:ind w:left="0" w:firstLine="0"/>
            </w:pPr>
          </w:p>
        </w:tc>
        <w:tc>
          <w:tcPr>
            <w:tcW w:w="1803" w:type="dxa"/>
            <w:tcBorders>
              <w:top w:val="single" w:sz="4" w:space="0" w:color="auto"/>
              <w:bottom w:val="single" w:sz="4" w:space="0" w:color="auto"/>
            </w:tcBorders>
          </w:tcPr>
          <w:p w14:paraId="6FC032F6" w14:textId="77777777" w:rsidR="00E72CA9" w:rsidRDefault="00D516E3">
            <w:pPr>
              <w:pStyle w:val="Annalstext"/>
              <w:tabs>
                <w:tab w:val="clear" w:pos="502"/>
                <w:tab w:val="clear" w:pos="644"/>
              </w:tabs>
              <w:ind w:left="0" w:firstLine="0"/>
            </w:pPr>
            <w:r>
              <w:t xml:space="preserve">Male </w:t>
            </w:r>
          </w:p>
        </w:tc>
        <w:tc>
          <w:tcPr>
            <w:tcW w:w="1803" w:type="dxa"/>
            <w:tcBorders>
              <w:top w:val="single" w:sz="4" w:space="0" w:color="auto"/>
              <w:bottom w:val="single" w:sz="4" w:space="0" w:color="auto"/>
            </w:tcBorders>
          </w:tcPr>
          <w:p w14:paraId="3B6FE793" w14:textId="77777777" w:rsidR="00E72CA9" w:rsidRDefault="00D516E3">
            <w:pPr>
              <w:pStyle w:val="Annalstext"/>
              <w:tabs>
                <w:tab w:val="clear" w:pos="502"/>
                <w:tab w:val="clear" w:pos="644"/>
              </w:tabs>
              <w:ind w:left="0" w:firstLine="0"/>
            </w:pPr>
            <w:r>
              <w:t>Female</w:t>
            </w:r>
          </w:p>
        </w:tc>
        <w:tc>
          <w:tcPr>
            <w:tcW w:w="1803" w:type="dxa"/>
            <w:tcBorders>
              <w:top w:val="single" w:sz="4" w:space="0" w:color="auto"/>
              <w:bottom w:val="single" w:sz="4" w:space="0" w:color="auto"/>
            </w:tcBorders>
          </w:tcPr>
          <w:p w14:paraId="4F13D4EF" w14:textId="77777777" w:rsidR="00E72CA9" w:rsidRDefault="00D516E3">
            <w:pPr>
              <w:pStyle w:val="Annalstext"/>
              <w:tabs>
                <w:tab w:val="clear" w:pos="502"/>
                <w:tab w:val="clear" w:pos="644"/>
              </w:tabs>
              <w:ind w:left="0" w:firstLine="0"/>
            </w:pPr>
            <w:r>
              <w:t xml:space="preserve">Male </w:t>
            </w:r>
          </w:p>
        </w:tc>
        <w:tc>
          <w:tcPr>
            <w:tcW w:w="1804" w:type="dxa"/>
            <w:tcBorders>
              <w:top w:val="single" w:sz="4" w:space="0" w:color="auto"/>
              <w:bottom w:val="single" w:sz="4" w:space="0" w:color="auto"/>
            </w:tcBorders>
          </w:tcPr>
          <w:p w14:paraId="46DCA932" w14:textId="77777777" w:rsidR="00E72CA9" w:rsidRDefault="00D516E3">
            <w:pPr>
              <w:pStyle w:val="Annalstext"/>
              <w:tabs>
                <w:tab w:val="clear" w:pos="502"/>
                <w:tab w:val="clear" w:pos="644"/>
              </w:tabs>
              <w:ind w:left="0" w:firstLine="0"/>
            </w:pPr>
            <w:r>
              <w:t>Female</w:t>
            </w:r>
          </w:p>
        </w:tc>
      </w:tr>
      <w:tr w:rsidR="00E72CA9" w14:paraId="6B7B87D5" w14:textId="77777777">
        <w:tc>
          <w:tcPr>
            <w:tcW w:w="1803" w:type="dxa"/>
            <w:tcBorders>
              <w:top w:val="single" w:sz="4" w:space="0" w:color="auto"/>
            </w:tcBorders>
          </w:tcPr>
          <w:p w14:paraId="16CF0056" w14:textId="77777777" w:rsidR="00E72CA9" w:rsidRDefault="00D516E3">
            <w:pPr>
              <w:pStyle w:val="Annalstext"/>
              <w:tabs>
                <w:tab w:val="clear" w:pos="502"/>
                <w:tab w:val="clear" w:pos="644"/>
              </w:tabs>
              <w:ind w:left="0" w:firstLine="0"/>
            </w:pPr>
            <w:r>
              <w:t>Newborn</w:t>
            </w:r>
          </w:p>
        </w:tc>
        <w:tc>
          <w:tcPr>
            <w:tcW w:w="1803" w:type="dxa"/>
            <w:tcBorders>
              <w:top w:val="single" w:sz="4" w:space="0" w:color="auto"/>
            </w:tcBorders>
          </w:tcPr>
          <w:p w14:paraId="1E4C961F" w14:textId="77777777" w:rsidR="00E72CA9" w:rsidRDefault="00D516E3">
            <w:pPr>
              <w:pStyle w:val="Annalstext"/>
              <w:tabs>
                <w:tab w:val="clear" w:pos="502"/>
                <w:tab w:val="clear" w:pos="644"/>
              </w:tabs>
              <w:ind w:left="0" w:firstLine="0"/>
            </w:pPr>
            <w:r>
              <w:t>51</w:t>
            </w:r>
          </w:p>
        </w:tc>
        <w:tc>
          <w:tcPr>
            <w:tcW w:w="1803" w:type="dxa"/>
            <w:tcBorders>
              <w:top w:val="single" w:sz="4" w:space="0" w:color="auto"/>
            </w:tcBorders>
          </w:tcPr>
          <w:p w14:paraId="7B27E38C" w14:textId="77777777" w:rsidR="00E72CA9" w:rsidRDefault="00D516E3">
            <w:pPr>
              <w:pStyle w:val="Annalstext"/>
              <w:tabs>
                <w:tab w:val="clear" w:pos="502"/>
                <w:tab w:val="clear" w:pos="644"/>
              </w:tabs>
              <w:ind w:left="0" w:firstLine="0"/>
            </w:pPr>
            <w:r>
              <w:t>51</w:t>
            </w:r>
          </w:p>
        </w:tc>
        <w:tc>
          <w:tcPr>
            <w:tcW w:w="1803" w:type="dxa"/>
            <w:tcBorders>
              <w:top w:val="single" w:sz="4" w:space="0" w:color="auto"/>
            </w:tcBorders>
          </w:tcPr>
          <w:p w14:paraId="44516C38" w14:textId="77777777" w:rsidR="00E72CA9" w:rsidRDefault="00D516E3">
            <w:pPr>
              <w:pStyle w:val="Annalstext"/>
              <w:tabs>
                <w:tab w:val="clear" w:pos="502"/>
                <w:tab w:val="clear" w:pos="644"/>
              </w:tabs>
              <w:ind w:left="0" w:firstLine="0"/>
            </w:pPr>
            <w:r>
              <w:t>3.5</w:t>
            </w:r>
          </w:p>
        </w:tc>
        <w:tc>
          <w:tcPr>
            <w:tcW w:w="1804" w:type="dxa"/>
            <w:tcBorders>
              <w:top w:val="single" w:sz="4" w:space="0" w:color="auto"/>
            </w:tcBorders>
          </w:tcPr>
          <w:p w14:paraId="02B16BA7" w14:textId="77777777" w:rsidR="00E72CA9" w:rsidRDefault="00D516E3">
            <w:pPr>
              <w:pStyle w:val="Annalstext"/>
              <w:tabs>
                <w:tab w:val="clear" w:pos="502"/>
                <w:tab w:val="clear" w:pos="644"/>
              </w:tabs>
              <w:ind w:left="0" w:firstLine="0"/>
            </w:pPr>
            <w:r>
              <w:t>3.5</w:t>
            </w:r>
          </w:p>
        </w:tc>
      </w:tr>
      <w:tr w:rsidR="00E72CA9" w14:paraId="784A896C" w14:textId="77777777">
        <w:tc>
          <w:tcPr>
            <w:tcW w:w="1803" w:type="dxa"/>
          </w:tcPr>
          <w:p w14:paraId="7D16EFFD" w14:textId="77777777" w:rsidR="00E72CA9" w:rsidRDefault="00D516E3">
            <w:pPr>
              <w:pStyle w:val="Annalstext"/>
              <w:tabs>
                <w:tab w:val="clear" w:pos="502"/>
                <w:tab w:val="clear" w:pos="644"/>
              </w:tabs>
              <w:ind w:left="0" w:firstLine="0"/>
            </w:pPr>
            <w:r>
              <w:t>1 year</w:t>
            </w:r>
          </w:p>
        </w:tc>
        <w:tc>
          <w:tcPr>
            <w:tcW w:w="1803" w:type="dxa"/>
          </w:tcPr>
          <w:p w14:paraId="7401A62E" w14:textId="77777777" w:rsidR="00E72CA9" w:rsidRDefault="00D516E3">
            <w:pPr>
              <w:pStyle w:val="Annalstext"/>
              <w:tabs>
                <w:tab w:val="clear" w:pos="502"/>
                <w:tab w:val="clear" w:pos="644"/>
              </w:tabs>
              <w:ind w:left="0" w:firstLine="0"/>
            </w:pPr>
            <w:r>
              <w:t>76</w:t>
            </w:r>
          </w:p>
        </w:tc>
        <w:tc>
          <w:tcPr>
            <w:tcW w:w="1803" w:type="dxa"/>
          </w:tcPr>
          <w:p w14:paraId="7E513ADA" w14:textId="77777777" w:rsidR="00E72CA9" w:rsidRDefault="00D516E3">
            <w:pPr>
              <w:pStyle w:val="Annalstext"/>
              <w:tabs>
                <w:tab w:val="clear" w:pos="502"/>
                <w:tab w:val="clear" w:pos="644"/>
              </w:tabs>
              <w:ind w:left="0" w:firstLine="0"/>
            </w:pPr>
            <w:r>
              <w:t>76</w:t>
            </w:r>
          </w:p>
        </w:tc>
        <w:tc>
          <w:tcPr>
            <w:tcW w:w="1803" w:type="dxa"/>
          </w:tcPr>
          <w:p w14:paraId="0D4BBF0D" w14:textId="77777777" w:rsidR="00E72CA9" w:rsidRDefault="00D516E3">
            <w:pPr>
              <w:pStyle w:val="Annalstext"/>
              <w:tabs>
                <w:tab w:val="clear" w:pos="502"/>
                <w:tab w:val="clear" w:pos="644"/>
              </w:tabs>
              <w:ind w:left="0" w:firstLine="0"/>
            </w:pPr>
            <w:r>
              <w:t>10</w:t>
            </w:r>
          </w:p>
        </w:tc>
        <w:tc>
          <w:tcPr>
            <w:tcW w:w="1804" w:type="dxa"/>
          </w:tcPr>
          <w:p w14:paraId="2DED00F5" w14:textId="77777777" w:rsidR="00E72CA9" w:rsidRDefault="00D516E3">
            <w:pPr>
              <w:pStyle w:val="Annalstext"/>
              <w:tabs>
                <w:tab w:val="clear" w:pos="502"/>
                <w:tab w:val="clear" w:pos="644"/>
              </w:tabs>
              <w:ind w:left="0" w:firstLine="0"/>
            </w:pPr>
            <w:r>
              <w:t>10</w:t>
            </w:r>
          </w:p>
        </w:tc>
      </w:tr>
      <w:tr w:rsidR="00E72CA9" w14:paraId="2B2A095A" w14:textId="77777777">
        <w:tc>
          <w:tcPr>
            <w:tcW w:w="1803" w:type="dxa"/>
          </w:tcPr>
          <w:p w14:paraId="5E86ECF1" w14:textId="77777777" w:rsidR="00E72CA9" w:rsidRDefault="00D516E3">
            <w:pPr>
              <w:pStyle w:val="Annalstext"/>
              <w:tabs>
                <w:tab w:val="clear" w:pos="502"/>
                <w:tab w:val="clear" w:pos="644"/>
              </w:tabs>
              <w:ind w:left="0" w:firstLine="0"/>
            </w:pPr>
            <w:r>
              <w:t>5 years</w:t>
            </w:r>
          </w:p>
        </w:tc>
        <w:tc>
          <w:tcPr>
            <w:tcW w:w="1803" w:type="dxa"/>
          </w:tcPr>
          <w:p w14:paraId="793CCB5D" w14:textId="77777777" w:rsidR="00E72CA9" w:rsidRDefault="00D516E3">
            <w:pPr>
              <w:pStyle w:val="Annalstext"/>
              <w:tabs>
                <w:tab w:val="clear" w:pos="502"/>
                <w:tab w:val="clear" w:pos="644"/>
              </w:tabs>
              <w:ind w:left="0" w:firstLine="0"/>
            </w:pPr>
            <w:r>
              <w:t>109</w:t>
            </w:r>
          </w:p>
        </w:tc>
        <w:tc>
          <w:tcPr>
            <w:tcW w:w="1803" w:type="dxa"/>
          </w:tcPr>
          <w:p w14:paraId="2C52AB9E" w14:textId="77777777" w:rsidR="00E72CA9" w:rsidRDefault="00D516E3">
            <w:pPr>
              <w:pStyle w:val="Annalstext"/>
              <w:tabs>
                <w:tab w:val="clear" w:pos="502"/>
                <w:tab w:val="clear" w:pos="644"/>
              </w:tabs>
              <w:ind w:left="0" w:firstLine="0"/>
            </w:pPr>
            <w:r>
              <w:t>109</w:t>
            </w:r>
          </w:p>
        </w:tc>
        <w:tc>
          <w:tcPr>
            <w:tcW w:w="1803" w:type="dxa"/>
          </w:tcPr>
          <w:p w14:paraId="7A8E978C" w14:textId="77777777" w:rsidR="00E72CA9" w:rsidRDefault="00D516E3">
            <w:pPr>
              <w:pStyle w:val="Annalstext"/>
              <w:tabs>
                <w:tab w:val="clear" w:pos="502"/>
                <w:tab w:val="clear" w:pos="644"/>
              </w:tabs>
              <w:ind w:left="0" w:firstLine="0"/>
            </w:pPr>
            <w:r>
              <w:t>19</w:t>
            </w:r>
          </w:p>
        </w:tc>
        <w:tc>
          <w:tcPr>
            <w:tcW w:w="1804" w:type="dxa"/>
          </w:tcPr>
          <w:p w14:paraId="4B58DD2E" w14:textId="77777777" w:rsidR="00E72CA9" w:rsidRDefault="00D516E3">
            <w:pPr>
              <w:pStyle w:val="Annalstext"/>
              <w:tabs>
                <w:tab w:val="clear" w:pos="502"/>
                <w:tab w:val="clear" w:pos="644"/>
              </w:tabs>
              <w:ind w:left="0" w:firstLine="0"/>
            </w:pPr>
            <w:r>
              <w:t>19</w:t>
            </w:r>
          </w:p>
        </w:tc>
      </w:tr>
      <w:tr w:rsidR="00E72CA9" w14:paraId="5B4358B9" w14:textId="77777777">
        <w:tc>
          <w:tcPr>
            <w:tcW w:w="1803" w:type="dxa"/>
          </w:tcPr>
          <w:p w14:paraId="06B57ACB" w14:textId="77777777" w:rsidR="00E72CA9" w:rsidRDefault="00D516E3">
            <w:pPr>
              <w:pStyle w:val="Annalstext"/>
              <w:tabs>
                <w:tab w:val="clear" w:pos="502"/>
                <w:tab w:val="clear" w:pos="644"/>
              </w:tabs>
              <w:ind w:left="0" w:firstLine="0"/>
            </w:pPr>
            <w:r>
              <w:t>10 years</w:t>
            </w:r>
          </w:p>
        </w:tc>
        <w:tc>
          <w:tcPr>
            <w:tcW w:w="1803" w:type="dxa"/>
          </w:tcPr>
          <w:p w14:paraId="7B3480F4" w14:textId="77777777" w:rsidR="00E72CA9" w:rsidRDefault="00D516E3">
            <w:pPr>
              <w:pStyle w:val="Annalstext"/>
              <w:tabs>
                <w:tab w:val="clear" w:pos="502"/>
                <w:tab w:val="clear" w:pos="644"/>
              </w:tabs>
              <w:ind w:left="0" w:firstLine="0"/>
            </w:pPr>
            <w:r>
              <w:t>138</w:t>
            </w:r>
          </w:p>
        </w:tc>
        <w:tc>
          <w:tcPr>
            <w:tcW w:w="1803" w:type="dxa"/>
          </w:tcPr>
          <w:p w14:paraId="28440E39" w14:textId="77777777" w:rsidR="00E72CA9" w:rsidRDefault="00D516E3">
            <w:pPr>
              <w:pStyle w:val="Annalstext"/>
              <w:tabs>
                <w:tab w:val="clear" w:pos="502"/>
                <w:tab w:val="clear" w:pos="644"/>
              </w:tabs>
              <w:ind w:left="0" w:firstLine="0"/>
            </w:pPr>
            <w:r>
              <w:t>138</w:t>
            </w:r>
          </w:p>
        </w:tc>
        <w:tc>
          <w:tcPr>
            <w:tcW w:w="1803" w:type="dxa"/>
          </w:tcPr>
          <w:p w14:paraId="55E264AA" w14:textId="77777777" w:rsidR="00E72CA9" w:rsidRDefault="00D516E3">
            <w:pPr>
              <w:pStyle w:val="Annalstext"/>
              <w:tabs>
                <w:tab w:val="clear" w:pos="502"/>
                <w:tab w:val="clear" w:pos="644"/>
              </w:tabs>
              <w:ind w:left="0" w:firstLine="0"/>
            </w:pPr>
            <w:r>
              <w:t>32</w:t>
            </w:r>
          </w:p>
        </w:tc>
        <w:tc>
          <w:tcPr>
            <w:tcW w:w="1804" w:type="dxa"/>
          </w:tcPr>
          <w:p w14:paraId="693CC44B" w14:textId="77777777" w:rsidR="00E72CA9" w:rsidRDefault="00D516E3">
            <w:pPr>
              <w:pStyle w:val="Annalstext"/>
              <w:tabs>
                <w:tab w:val="clear" w:pos="502"/>
                <w:tab w:val="clear" w:pos="644"/>
              </w:tabs>
              <w:ind w:left="0" w:firstLine="0"/>
            </w:pPr>
            <w:r>
              <w:t>32</w:t>
            </w:r>
          </w:p>
        </w:tc>
      </w:tr>
      <w:tr w:rsidR="00E72CA9" w14:paraId="4D98B960" w14:textId="77777777">
        <w:tc>
          <w:tcPr>
            <w:tcW w:w="1803" w:type="dxa"/>
          </w:tcPr>
          <w:p w14:paraId="41AF8520" w14:textId="77777777" w:rsidR="00E72CA9" w:rsidRDefault="00D516E3">
            <w:pPr>
              <w:pStyle w:val="Annalstext"/>
              <w:tabs>
                <w:tab w:val="clear" w:pos="502"/>
                <w:tab w:val="clear" w:pos="644"/>
              </w:tabs>
              <w:ind w:left="0" w:firstLine="0"/>
            </w:pPr>
            <w:r>
              <w:t>15 years</w:t>
            </w:r>
          </w:p>
        </w:tc>
        <w:tc>
          <w:tcPr>
            <w:tcW w:w="1803" w:type="dxa"/>
          </w:tcPr>
          <w:p w14:paraId="05930740" w14:textId="77777777" w:rsidR="00E72CA9" w:rsidRDefault="00D516E3">
            <w:pPr>
              <w:pStyle w:val="Annalstext"/>
              <w:tabs>
                <w:tab w:val="clear" w:pos="502"/>
                <w:tab w:val="clear" w:pos="644"/>
              </w:tabs>
              <w:ind w:left="0" w:firstLine="0"/>
            </w:pPr>
            <w:r>
              <w:t>167</w:t>
            </w:r>
          </w:p>
        </w:tc>
        <w:tc>
          <w:tcPr>
            <w:tcW w:w="1803" w:type="dxa"/>
          </w:tcPr>
          <w:p w14:paraId="7489E7EE" w14:textId="77777777" w:rsidR="00E72CA9" w:rsidRDefault="00D516E3">
            <w:pPr>
              <w:pStyle w:val="Annalstext"/>
              <w:tabs>
                <w:tab w:val="clear" w:pos="502"/>
                <w:tab w:val="clear" w:pos="644"/>
              </w:tabs>
              <w:ind w:left="0" w:firstLine="0"/>
            </w:pPr>
            <w:r>
              <w:t>161</w:t>
            </w:r>
          </w:p>
        </w:tc>
        <w:tc>
          <w:tcPr>
            <w:tcW w:w="1803" w:type="dxa"/>
          </w:tcPr>
          <w:p w14:paraId="699392D0" w14:textId="77777777" w:rsidR="00E72CA9" w:rsidRDefault="00D516E3">
            <w:pPr>
              <w:pStyle w:val="Annalstext"/>
              <w:tabs>
                <w:tab w:val="clear" w:pos="502"/>
                <w:tab w:val="clear" w:pos="644"/>
              </w:tabs>
              <w:ind w:left="0" w:firstLine="0"/>
            </w:pPr>
            <w:r>
              <w:t>56</w:t>
            </w:r>
          </w:p>
        </w:tc>
        <w:tc>
          <w:tcPr>
            <w:tcW w:w="1804" w:type="dxa"/>
          </w:tcPr>
          <w:p w14:paraId="5D74316B" w14:textId="77777777" w:rsidR="00E72CA9" w:rsidRDefault="00D516E3">
            <w:pPr>
              <w:pStyle w:val="Annalstext"/>
              <w:tabs>
                <w:tab w:val="clear" w:pos="502"/>
                <w:tab w:val="clear" w:pos="644"/>
              </w:tabs>
              <w:ind w:left="0" w:firstLine="0"/>
            </w:pPr>
            <w:r>
              <w:t>53</w:t>
            </w:r>
          </w:p>
        </w:tc>
      </w:tr>
      <w:tr w:rsidR="00E72CA9" w14:paraId="2C1B855A" w14:textId="77777777">
        <w:tc>
          <w:tcPr>
            <w:tcW w:w="1803" w:type="dxa"/>
          </w:tcPr>
          <w:p w14:paraId="770C7A1A" w14:textId="77777777" w:rsidR="00E72CA9" w:rsidRDefault="00D516E3">
            <w:pPr>
              <w:pStyle w:val="Annalstext"/>
              <w:tabs>
                <w:tab w:val="clear" w:pos="502"/>
                <w:tab w:val="clear" w:pos="644"/>
              </w:tabs>
              <w:ind w:left="0" w:firstLine="0"/>
            </w:pPr>
            <w:r>
              <w:t>Adult</w:t>
            </w:r>
          </w:p>
        </w:tc>
        <w:tc>
          <w:tcPr>
            <w:tcW w:w="1803" w:type="dxa"/>
          </w:tcPr>
          <w:p w14:paraId="34B53CAB" w14:textId="77777777" w:rsidR="00E72CA9" w:rsidRDefault="00D516E3">
            <w:pPr>
              <w:pStyle w:val="Annalstext"/>
              <w:tabs>
                <w:tab w:val="clear" w:pos="502"/>
                <w:tab w:val="clear" w:pos="644"/>
              </w:tabs>
              <w:ind w:left="0" w:firstLine="0"/>
            </w:pPr>
            <w:r>
              <w:t>176</w:t>
            </w:r>
          </w:p>
        </w:tc>
        <w:tc>
          <w:tcPr>
            <w:tcW w:w="1803" w:type="dxa"/>
          </w:tcPr>
          <w:p w14:paraId="27E54477" w14:textId="77777777" w:rsidR="00E72CA9" w:rsidRDefault="00D516E3">
            <w:pPr>
              <w:pStyle w:val="Annalstext"/>
              <w:tabs>
                <w:tab w:val="clear" w:pos="502"/>
                <w:tab w:val="clear" w:pos="644"/>
              </w:tabs>
              <w:ind w:left="0" w:firstLine="0"/>
            </w:pPr>
            <w:r>
              <w:t>163</w:t>
            </w:r>
          </w:p>
        </w:tc>
        <w:tc>
          <w:tcPr>
            <w:tcW w:w="1803" w:type="dxa"/>
          </w:tcPr>
          <w:p w14:paraId="218042A1" w14:textId="77777777" w:rsidR="00E72CA9" w:rsidRDefault="00D516E3">
            <w:pPr>
              <w:pStyle w:val="Annalstext"/>
              <w:tabs>
                <w:tab w:val="clear" w:pos="502"/>
                <w:tab w:val="clear" w:pos="644"/>
              </w:tabs>
              <w:ind w:left="0" w:firstLine="0"/>
            </w:pPr>
            <w:r>
              <w:t>73</w:t>
            </w:r>
          </w:p>
        </w:tc>
        <w:tc>
          <w:tcPr>
            <w:tcW w:w="1804" w:type="dxa"/>
          </w:tcPr>
          <w:p w14:paraId="5088D335" w14:textId="77777777" w:rsidR="00E72CA9" w:rsidRDefault="00D516E3">
            <w:pPr>
              <w:pStyle w:val="Annalstext"/>
              <w:tabs>
                <w:tab w:val="clear" w:pos="502"/>
                <w:tab w:val="clear" w:pos="644"/>
              </w:tabs>
              <w:ind w:left="0" w:firstLine="0"/>
            </w:pPr>
            <w:r>
              <w:t>60</w:t>
            </w:r>
          </w:p>
        </w:tc>
      </w:tr>
    </w:tbl>
    <w:p w14:paraId="36D79328" w14:textId="77777777" w:rsidR="00E72CA9" w:rsidRDefault="00E72CA9">
      <w:pPr>
        <w:pStyle w:val="Annalstext"/>
        <w:tabs>
          <w:tab w:val="clear" w:pos="502"/>
          <w:tab w:val="clear" w:pos="644"/>
        </w:tabs>
        <w:ind w:left="0" w:firstLine="142"/>
      </w:pPr>
    </w:p>
    <w:p w14:paraId="0735279F" w14:textId="77777777" w:rsidR="00E72CA9" w:rsidRDefault="00D516E3">
      <w:pPr>
        <w:pStyle w:val="Annalstext"/>
        <w:numPr>
          <w:ilvl w:val="0"/>
          <w:numId w:val="1"/>
        </w:numPr>
        <w:ind w:left="0"/>
      </w:pPr>
      <w:r>
        <w:t>The male reference computational phantom consists of approximately 1.95 million tissue voxels (excluding voxels representing the surrounding vacuum) each with a slice thickness (corresponding to the voxel height) of 8.0 mm and an in-plane resolution (i.e. voxel width and depth) of 2.137 mm, corresponding to a voxel volume of 36.54 mm</w:t>
      </w:r>
      <w:r>
        <w:rPr>
          <w:vertAlign w:val="superscript"/>
        </w:rPr>
        <w:t>3</w:t>
      </w:r>
      <w:r>
        <w:t xml:space="preserve">. The number of slices is 220, resulting in a body height of 1.76 m and total body mass of 73 kg. The female reference computational phantom consists of approximately 3.89 million tissue voxels, each </w:t>
      </w:r>
      <w:r>
        <w:lastRenderedPageBreak/>
        <w:t>with a slice thickness of 4.84 mm and an in-plane resolution of 1.775 mm, corresponding to a voxel volume of 15.25 mm</w:t>
      </w:r>
      <w:r>
        <w:rPr>
          <w:vertAlign w:val="superscript"/>
        </w:rPr>
        <w:t>3</w:t>
      </w:r>
      <w:r>
        <w:t xml:space="preserve">. The number of slices is 346, and thus the body height is 1.63 m and the total body mass is 60 kg. The number of individually segmented structures is 136 in each phantom, and 53 different tissue compositions have been assigned to them. The various tissue compositions reflect both the elemental composition of the tissue parenchyma </w:t>
      </w:r>
      <w:r>
        <w:fldChar w:fldCharType="begin"/>
      </w:r>
      <w:r>
        <w:instrText xml:space="preserve"> ADDIN EN.CITE &lt;EndNote&gt;&lt;Cite&gt;&lt;Author&gt;ICRU&lt;/Author&gt;&lt;Year&gt;1992&lt;/Year&gt;&lt;RecNum&gt;2986&lt;/RecNum&gt;&lt;DisplayText&gt;(ICRU, 1992)&lt;/DisplayText&gt;&lt;record&gt;&lt;rec-number&gt;2986&lt;/rec-number&gt;&lt;foreign-keys&gt;&lt;key app="EN" db-id="rss5s0wzrpx9pwe5a0h5a9wkx9sf2zexde9d" timestamp="0"&gt;2986&lt;/key&gt;&lt;/foreign-keys&gt;&lt;ref-type name="Report"&gt;27&lt;/ref-type&gt;&lt;contributors&gt;&lt;authors&gt;&lt;author&gt;ICRU,&lt;/author&gt;&lt;/authors&gt;&lt;/contributors&gt;&lt;titles&gt;&lt;title&gt;Photon, electron, proton and neutron interaction data for body tissues&lt;/title&gt;&lt;secondary-title&gt;ICRU Report&lt;/secondary-title&gt;&lt;/titles&gt;&lt;dates&gt;&lt;year&gt;1992&lt;/year&gt;&lt;/dates&gt;&lt;pub-location&gt;Bethesda, MD&lt;/pub-location&gt;&lt;publisher&gt;International Commission on Radiation Units and Measurements&lt;/publisher&gt;&lt;isbn&gt;46&lt;/isbn&gt;&lt;work-type&gt;ICRU Report&lt;/work-type&gt;&lt;urls&gt;&lt;/urls&gt;&lt;/record&gt;&lt;/Cite&gt;&lt;/EndNote&gt;</w:instrText>
      </w:r>
      <w:r>
        <w:fldChar w:fldCharType="separate"/>
      </w:r>
      <w:r>
        <w:rPr>
          <w:noProof/>
        </w:rPr>
        <w:t>(ICRU, 1992)</w:t>
      </w:r>
      <w:r>
        <w:fldChar w:fldCharType="end"/>
      </w:r>
      <w:r>
        <w:t xml:space="preserve"> and each organ’s blood content (ICRP, 2002) (i.e. organ composition inclusive of blood). Fig. 2.1 shows frontal (coronal) views of the male (left) and female (right) computational phantom, respectively.</w:t>
      </w:r>
    </w:p>
    <w:p w14:paraId="1D3DBA2F" w14:textId="77777777" w:rsidR="00E72CA9" w:rsidRDefault="00D516E3">
      <w:pPr>
        <w:pStyle w:val="Annalstext"/>
        <w:numPr>
          <w:ilvl w:val="0"/>
          <w:numId w:val="1"/>
        </w:numPr>
        <w:ind w:left="0"/>
      </w:pPr>
      <w:r>
        <w:t xml:space="preserve">Due to the limited resolution of the source tomographic data upon which these phantoms were constructed, and the very small dimensions of some of the ICRP defined source and target regions, not all tissues are explicitly represented. In the skeleton, for example, the target tissues of interest are the haematopoietically active bone marrow located within the marrow cavities of spongiosa, as well as the endosteal layer lining the surfaces of the bone trabeculae and the inner surfaces of the medullary cavities of the long bones (currently assumed to be 50 </w:t>
      </w:r>
      <w:proofErr w:type="spellStart"/>
      <w:r>
        <w:t>μm</w:t>
      </w:r>
      <w:proofErr w:type="spellEnd"/>
      <w:r>
        <w:t xml:space="preserve"> in thickness). Due to their small dimensions, these two target tissues are incorporated as homogeneous constituents of spongiosa within the reference phantoms. At lower energies of photon and neutrons, secondary charged-particle equilibrium is not fully established in these tissue regions over certain energy ranges. Consequently, more refined techniques for accounting for these effects in skeletal dosimetry are used in this publication. A detailed description of the skeletal dosimetry can be found in </w:t>
      </w:r>
      <w:r>
        <w:rPr>
          <w:i/>
          <w:iCs/>
        </w:rPr>
        <w:t xml:space="preserve">Publications116 </w:t>
      </w:r>
      <w:r>
        <w:fldChar w:fldCharType="begin"/>
      </w:r>
      <w:r>
        <w:instrText xml:space="preserve"> ADDIN EN.CITE &lt;EndNote&gt;&lt;Cite&gt;&lt;Author&gt;ICRP&lt;/Author&gt;&lt;Year&gt;2010&lt;/Year&gt;&lt;RecNum&gt;11772&lt;/RecNum&gt;&lt;DisplayText&gt;(ICRP, 2010, 2020b)&lt;/DisplayText&gt;&lt;record&gt;&lt;rec-number&gt;11772&lt;/rec-number&gt;&lt;foreign-keys&gt;&lt;key app="EN" db-id="rss5s0wzrpx9pwe5a0h5a9wkx9sf2zexde9d" timestamp="1612861899"&gt;11772&lt;/key&gt;&lt;/foreign-keys&gt;&lt;ref-type name="Journal Article"&gt;17&lt;/ref-type&gt;&lt;contributors&gt;&lt;authors&gt;&lt;author&gt;ICRP,&lt;/author&gt;&lt;/authors&gt;&lt;tertiary-authors&gt;&lt;author&gt;Elsevier&lt;/author&gt;&lt;/tertiary-authors&gt;&lt;/contributors&gt;&lt;titles&gt;&lt;title&gt;Conversion Coefficients for Radiological Protection Quantities for External Radiation Exposures. ICRP Publication 116&lt;/title&gt;&lt;secondary-title&gt;Annals of the ICRP&lt;/secondary-title&gt;&lt;/titles&gt;&lt;periodical&gt;&lt;full-title&gt;Annals of the ICRP&lt;/full-title&gt;&lt;abbr-1&gt;Ann. ICRP&lt;/abbr-1&gt;&lt;abbr-2&gt;Ann ICRP&lt;/abbr-2&gt;&lt;/periodical&gt;&lt;volume&gt;40&lt;/volume&gt;&lt;number&gt;2-5&lt;/number&gt;&lt;dates&gt;&lt;year&gt;2010&lt;/year&gt;&lt;/dates&gt;&lt;pub-location&gt;Oxford, UK&lt;/pub-location&gt;&lt;publisher&gt;International Commission of Radiological Protection&lt;/publisher&gt;&lt;orig-pub&gt;Ann. ICRP 40(2-5)&lt;/orig-pub&gt;&lt;isbn&gt;116&lt;/isbn&gt;&lt;work-type&gt;ICRP Publication&lt;/work-type&gt;&lt;urls&gt;&lt;/urls&gt;&lt;/record&gt;&lt;/Cite&gt;&lt;Cite&gt;&lt;Author&gt;ICRP&lt;/Author&gt;&lt;Year&gt;2020&lt;/Year&gt;&lt;RecNum&gt;11822&lt;/RecNum&gt;&lt;record&gt;&lt;rec-number&gt;11822&lt;/rec-number&gt;&lt;foreign-keys&gt;&lt;key app="EN" db-id="rss5s0wzrpx9pwe5a0h5a9wkx9sf2zexde9d" timestamp="1612882713"&gt;11822&lt;/key&gt;&lt;/foreign-keys&gt;&lt;ref-type name="Journal Article"&gt;17&lt;/ref-type&gt;&lt;contributors&gt;&lt;authors&gt;&lt;author&gt;ICRP,&lt;/author&gt;&lt;/authors&gt;&lt;secondary-authors&gt;&lt;author&gt;Sage&lt;/author&gt;&lt;/secondary-authors&gt;&lt;/contributors&gt;&lt;titles&gt;&lt;title&gt;Dose coefficients for external exposures to environmental sources. ICRP Publication 144&lt;/title&gt;&lt;secondary-title&gt;Annals of the ICRP&lt;/secondary-title&gt;&lt;/titles&gt;&lt;periodical&gt;&lt;full-title&gt;Annals of the ICRP&lt;/full-title&gt;&lt;abbr-1&gt;Ann. ICRP&lt;/abbr-1&gt;&lt;abbr-2&gt;Ann ICRP&lt;/abbr-2&gt;&lt;/periodical&gt;&lt;volume&gt;49&lt;/volume&gt;&lt;number&gt;2&lt;/number&gt;&lt;dates&gt;&lt;year&gt;2020&lt;/year&gt;&lt;/dates&gt;&lt;publisher&gt;International Commission of Radiological Protection&lt;/publisher&gt;&lt;work-type&gt;ICRP Publication&lt;/work-type&gt;&lt;urls&gt;&lt;/urls&gt;&lt;/record&gt;&lt;/Cite&gt;&lt;/EndNote&gt;</w:instrText>
      </w:r>
      <w:r>
        <w:fldChar w:fldCharType="separate"/>
      </w:r>
      <w:r>
        <w:rPr>
          <w:noProof/>
        </w:rPr>
        <w:t>(ICRP, 2010, 2020b)</w:t>
      </w:r>
      <w:r>
        <w:fldChar w:fldCharType="end"/>
      </w:r>
      <w:r>
        <w:t xml:space="preserve"> and in Annex C of this publication.</w:t>
      </w:r>
    </w:p>
    <w:p w14:paraId="641C521F" w14:textId="77777777" w:rsidR="00E72CA9" w:rsidRDefault="00D516E3">
      <w:pPr>
        <w:pStyle w:val="Annalstext"/>
        <w:numPr>
          <w:ilvl w:val="0"/>
          <w:numId w:val="1"/>
        </w:numPr>
        <w:ind w:left="0"/>
        <w:rPr>
          <w:rStyle w:val="Annalstext0"/>
          <w:snapToGrid w:val="0"/>
        </w:rPr>
      </w:pPr>
      <w:r>
        <w:rPr>
          <w:rStyle w:val="Annalstext0"/>
        </w:rPr>
        <w:t xml:space="preserve">Since the ICRP reference computational phantoms, both adult and paediatric (as described in the next section), have been constructed from CT data of real patients, they represent the reference patient in a supine position. That means that the abdomen is flatter than in a standing person, the abdominal organs are shifted upwards towards the chest, the lungs are compressed and the curvature of the spine is slightly different than the one of a standing person (ICRP, 2009). For the purposes of this reference modelling, an assumption must be made that the anatomy and organ location of those phantoms do not change when they are assumed to be in an upright position, for example during a chest postero-anterior (PA) examination. A study on the effects of posture on organ dose coefficients from some typical idealized external exposures for a person in a supine position and an upright position showed agreement within 2–20%, for photon energies above 50 keV  </w:t>
      </w:r>
      <w:r>
        <w:rPr>
          <w:rStyle w:val="Annalstext0"/>
        </w:rPr>
        <w:fldChar w:fldCharType="begin"/>
      </w:r>
      <w:r>
        <w:rPr>
          <w:rStyle w:val="Annalstext0"/>
        </w:rPr>
        <w:instrText xml:space="preserve"> ADDIN EN.CITE &lt;EndNote&gt;&lt;Cite&gt;&lt;Author&gt;Sato&lt;/Author&gt;&lt;Year&gt;2008&lt;/Year&gt;&lt;RecNum&gt;5321&lt;/RecNum&gt;&lt;DisplayText&gt;(Sato et al., 2008)&lt;/DisplayText&gt;&lt;record&gt;&lt;rec-number&gt;5321&lt;/rec-number&gt;&lt;foreign-keys&gt;&lt;key app="EN" db-id="rss5s0wzrpx9pwe5a0h5a9wkx9sf2zexde9d" timestamp="0"&gt;5321&lt;/key&gt;&lt;/foreign-keys&gt;&lt;ref-type name="Report"&gt;27&lt;/ref-type&gt;&lt;contributors&gt;&lt;authors&gt;&lt;author&gt;Sato, K.&lt;/author&gt;&lt;author&gt;Endo, A.&lt;/author&gt;&lt;author&gt;Saito, K.&lt;/author&gt;&lt;/authors&gt;&lt;/contributors&gt;&lt;titles&gt;&lt;title&gt;Dose conversion coefficients calculated using a series of adult Japanese voxel phantoms against external photon exposures&lt;/title&gt;&lt;secondary-title&gt;JAEA-Data/Code&lt;/secondary-title&gt;&lt;/titles&gt;&lt;keywords&gt;&lt;keyword&gt;Japanese voxel phantoms&lt;/keyword&gt;&lt;keyword&gt;Dosimetry&lt;/keyword&gt;&lt;keyword&gt;Organ dose&lt;/keyword&gt;&lt;keyword&gt;effective dose&lt;/keyword&gt;&lt;keyword&gt;dose conversion coefficient&lt;/keyword&gt;&lt;keyword&gt;external photon exposure&lt;/keyword&gt;&lt;keyword&gt;Monte Carlo code&lt;/keyword&gt;&lt;keyword&gt;EGS4&lt;/keyword&gt;&lt;/keywords&gt;&lt;dates&gt;&lt;year&gt;2008&lt;/year&gt;&lt;pub-dates&gt;&lt;date&gt;October 2008&lt;/date&gt;&lt;/pub-dates&gt;&lt;/dates&gt;&lt;pub-location&gt;Tokai-mura&lt;/pub-location&gt;&lt;publisher&gt;Japan Atomic Energy Agency&lt;/publisher&gt;&lt;isbn&gt;JAEA-Data/Code 2008-016&lt;/isbn&gt;&lt;urls&gt;&lt;/urls&gt;&lt;/record&gt;&lt;/Cite&gt;&lt;/EndNote&gt;</w:instrText>
      </w:r>
      <w:r>
        <w:rPr>
          <w:rStyle w:val="Annalstext0"/>
        </w:rPr>
        <w:fldChar w:fldCharType="separate"/>
      </w:r>
      <w:r>
        <w:rPr>
          <w:rStyle w:val="Annalstext0"/>
        </w:rPr>
        <w:t>(Sato et al., 2008)</w:t>
      </w:r>
      <w:r>
        <w:rPr>
          <w:rStyle w:val="Annalstext0"/>
        </w:rPr>
        <w:fldChar w:fldCharType="end"/>
      </w:r>
      <w:r>
        <w:rPr>
          <w:rStyle w:val="Annalstext0"/>
        </w:rPr>
        <w:t xml:space="preserve">. For energies below 50 keV, some organs could exhibit larger differences up to a factor of approximately 2, depending on the projection geometry (i.e. AP, PA, LAT etc.) and the potential shift of the organ in question when the posture changes. For example, the absorbed dose to the liver and stomach for an idealized lateral projections will be higher for a phantom which is constructed from data of a person in an upright position than for a phantom constructed from data obtained in supine position. For brain and oesophagus, for example, these variations are mostly below 10%, even at low energies. However, the effective dose was found to be less sensitive to posture for all energies. Thus, it can be concluded that the dosimetric impact of the person’s position is limited, and the organ position of the voxel phantoms in the supine position is acceptable for the applications intended. </w:t>
      </w:r>
    </w:p>
    <w:p w14:paraId="2D87602E" w14:textId="77777777" w:rsidR="00E72CA9" w:rsidRDefault="00E72CA9">
      <w:pPr>
        <w:pStyle w:val="Annalstext"/>
        <w:tabs>
          <w:tab w:val="clear" w:pos="502"/>
          <w:tab w:val="clear" w:pos="851"/>
        </w:tabs>
        <w:ind w:left="0" w:firstLineChars="50" w:firstLine="120"/>
        <w:rPr>
          <w:szCs w:val="24"/>
        </w:rPr>
      </w:pPr>
    </w:p>
    <w:p w14:paraId="3D819449" w14:textId="77777777" w:rsidR="00E72CA9" w:rsidRDefault="00E72CA9">
      <w:pPr>
        <w:pStyle w:val="Annalstext"/>
        <w:tabs>
          <w:tab w:val="clear" w:pos="502"/>
          <w:tab w:val="clear" w:pos="851"/>
        </w:tabs>
        <w:ind w:left="0" w:firstLineChars="50" w:firstLine="120"/>
        <w:rPr>
          <w:szCs w:val="24"/>
        </w:rPr>
      </w:pPr>
    </w:p>
    <w:p w14:paraId="2F228A9D" w14:textId="77777777" w:rsidR="00E72CA9" w:rsidRDefault="00D516E3">
      <w:pPr>
        <w:pStyle w:val="Annalstext"/>
        <w:keepNext/>
        <w:tabs>
          <w:tab w:val="clear" w:pos="502"/>
          <w:tab w:val="clear" w:pos="851"/>
          <w:tab w:val="left" w:pos="720"/>
        </w:tabs>
        <w:ind w:left="0" w:firstLineChars="50" w:firstLine="120"/>
        <w:jc w:val="center"/>
      </w:pPr>
      <w:r>
        <w:rPr>
          <w:noProof/>
          <w:lang w:eastAsia="en-GB"/>
        </w:rPr>
        <w:lastRenderedPageBreak/>
        <w:drawing>
          <wp:inline distT="0" distB="0" distL="0" distR="0" wp14:anchorId="61224C3F" wp14:editId="7BD3ECB7">
            <wp:extent cx="2727608" cy="3872109"/>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2749051" cy="3902550"/>
                    </a:xfrm>
                    <a:prstGeom prst="rect">
                      <a:avLst/>
                    </a:prstGeom>
                    <a:noFill/>
                    <a:ln>
                      <a:noFill/>
                    </a:ln>
                  </pic:spPr>
                </pic:pic>
              </a:graphicData>
            </a:graphic>
          </wp:inline>
        </w:drawing>
      </w:r>
    </w:p>
    <w:p w14:paraId="5B2C778F" w14:textId="77777777" w:rsidR="00E72CA9" w:rsidRDefault="00E72CA9">
      <w:pPr>
        <w:pStyle w:val="af0"/>
        <w:tabs>
          <w:tab w:val="left" w:pos="540"/>
          <w:tab w:val="left" w:pos="720"/>
          <w:tab w:val="left" w:pos="852"/>
        </w:tabs>
        <w:adjustRightInd/>
        <w:spacing w:before="0" w:after="0" w:line="240" w:lineRule="auto"/>
        <w:ind w:firstLineChars="50" w:firstLine="120"/>
        <w:jc w:val="both"/>
        <w:rPr>
          <w:b w:val="0"/>
        </w:rPr>
      </w:pPr>
    </w:p>
    <w:p w14:paraId="53F39093" w14:textId="77777777" w:rsidR="00E72CA9" w:rsidRDefault="00D516E3">
      <w:pPr>
        <w:pStyle w:val="af0"/>
        <w:tabs>
          <w:tab w:val="left" w:pos="540"/>
          <w:tab w:val="left" w:pos="720"/>
          <w:tab w:val="left" w:pos="852"/>
        </w:tabs>
        <w:adjustRightInd/>
        <w:spacing w:before="0" w:after="0" w:line="240" w:lineRule="auto"/>
        <w:jc w:val="both"/>
        <w:rPr>
          <w:sz w:val="22"/>
          <w:szCs w:val="22"/>
        </w:rPr>
      </w:pPr>
      <w:r>
        <w:rPr>
          <w:b w:val="0"/>
          <w:sz w:val="22"/>
          <w:szCs w:val="22"/>
        </w:rPr>
        <w:t>Fig. 2.</w:t>
      </w:r>
      <w:r>
        <w:rPr>
          <w:b w:val="0"/>
          <w:sz w:val="22"/>
          <w:szCs w:val="22"/>
        </w:rPr>
        <w:fldChar w:fldCharType="begin"/>
      </w:r>
      <w:r>
        <w:rPr>
          <w:b w:val="0"/>
          <w:sz w:val="22"/>
          <w:szCs w:val="22"/>
        </w:rPr>
        <w:instrText xml:space="preserve"> SEQ Fig._4. \* ARABIC </w:instrText>
      </w:r>
      <w:r>
        <w:rPr>
          <w:b w:val="0"/>
          <w:sz w:val="22"/>
          <w:szCs w:val="22"/>
        </w:rPr>
        <w:fldChar w:fldCharType="separate"/>
      </w:r>
      <w:r>
        <w:rPr>
          <w:b w:val="0"/>
          <w:noProof/>
          <w:sz w:val="22"/>
          <w:szCs w:val="22"/>
        </w:rPr>
        <w:t>1</w:t>
      </w:r>
      <w:r>
        <w:rPr>
          <w:b w:val="0"/>
          <w:sz w:val="22"/>
          <w:szCs w:val="22"/>
        </w:rPr>
        <w:fldChar w:fldCharType="end"/>
      </w:r>
      <w:r>
        <w:rPr>
          <w:b w:val="0"/>
          <w:sz w:val="22"/>
          <w:szCs w:val="22"/>
        </w:rPr>
        <w:t xml:space="preserve">. Images of the adult male (left) and adult female (right) voxel reference computational phantoms </w:t>
      </w:r>
      <w:r>
        <w:rPr>
          <w:b w:val="0"/>
          <w:sz w:val="22"/>
          <w:szCs w:val="22"/>
        </w:rPr>
        <w:fldChar w:fldCharType="begin"/>
      </w:r>
      <w:r>
        <w:rPr>
          <w:b w:val="0"/>
          <w:sz w:val="22"/>
          <w:szCs w:val="22"/>
        </w:rPr>
        <w:instrText xml:space="preserve"> ADDIN EN.CITE &lt;EndNote&gt;&lt;Cite&gt;&lt;Author&gt;ICRP&lt;/Author&gt;&lt;Year&gt;2009&lt;/Year&gt;&lt;RecNum&gt;3450&lt;/RecNum&gt;&lt;DisplayText&gt;(ICRP, 2009a)&lt;/DisplayText&gt;&lt;record&gt;&lt;rec-number&gt;3450&lt;/rec-number&gt;&lt;foreign-keys&gt;&lt;key app="EN" db-id="tewdatv2kswps0ep9wgxe0tjvatvprte2wrd" timestamp="1681399866"&gt;3450&lt;/key&gt;&lt;/foreign-keys&gt;&lt;ref-type name="Report"&gt;27&lt;/ref-type&gt;&lt;contributors&gt;&lt;authors&gt;&lt;author&gt;ICRP,&lt;/author&gt;&lt;/authors&gt;&lt;secondary-authors&gt;&lt;author&gt;Elsevier&lt;/author&gt;&lt;/secondary-authors&gt;&lt;/contributors&gt;&lt;titles&gt;&lt;title&gt;Adult reference computational phantoms&lt;/title&gt;&lt;secondary-title&gt;ICRP Publication 110&lt;/secondary-title&gt;&lt;/titles&gt;&lt;dates&gt;&lt;year&gt;2009&lt;/year&gt;&lt;/dates&gt;&lt;pub-location&gt;Oxford, UK&lt;/pub-location&gt;&lt;publisher&gt;International Commission on Radiological Protection&lt;/publisher&gt;&lt;orig-pub&gt;Ann. ICRP 39(2)&lt;/orig-pub&gt;&lt;isbn&gt;ICRP Publication 110&lt;/isbn&gt;&lt;work-type&gt;ICRP Publication&lt;/work-type&gt;&lt;urls&gt;&lt;/urls&gt;&lt;/record&gt;&lt;/Cite&gt;&lt;/EndNote&gt;</w:instrText>
      </w:r>
      <w:r>
        <w:rPr>
          <w:b w:val="0"/>
          <w:sz w:val="22"/>
          <w:szCs w:val="22"/>
        </w:rPr>
        <w:fldChar w:fldCharType="separate"/>
      </w:r>
      <w:r>
        <w:rPr>
          <w:b w:val="0"/>
          <w:noProof/>
          <w:sz w:val="22"/>
          <w:szCs w:val="22"/>
        </w:rPr>
        <w:t>(ICRP, 2009a)</w:t>
      </w:r>
      <w:r>
        <w:rPr>
          <w:b w:val="0"/>
          <w:sz w:val="22"/>
          <w:szCs w:val="22"/>
        </w:rPr>
        <w:fldChar w:fldCharType="end"/>
      </w:r>
      <w:r>
        <w:rPr>
          <w:b w:val="0"/>
          <w:sz w:val="22"/>
          <w:szCs w:val="22"/>
        </w:rPr>
        <w:t>. The following organs can be identified by different surface colours: breast, colon,</w:t>
      </w:r>
      <w:r>
        <w:rPr>
          <w:sz w:val="22"/>
          <w:szCs w:val="22"/>
        </w:rPr>
        <w:t xml:space="preserve"> </w:t>
      </w:r>
      <w:r>
        <w:rPr>
          <w:b w:val="0"/>
          <w:sz w:val="22"/>
          <w:szCs w:val="22"/>
        </w:rPr>
        <w:t>eyes, lungs, liver, pancreas, salivary glands, small intestine, stomach, thyroid and urinary bladder, teeth. Muscle and adipose tissue are semi-transparent.</w:t>
      </w:r>
    </w:p>
    <w:p w14:paraId="41FE3942" w14:textId="77777777" w:rsidR="00E72CA9" w:rsidRDefault="00D516E3">
      <w:pPr>
        <w:pStyle w:val="2"/>
      </w:pPr>
      <w:bookmarkStart w:id="36" w:name="_Hlk162294008"/>
      <w:bookmarkStart w:id="37" w:name="_Toc510393111"/>
      <w:bookmarkStart w:id="38" w:name="_Toc510394596"/>
      <w:bookmarkStart w:id="39" w:name="_Toc5194865"/>
      <w:bookmarkStart w:id="40" w:name="_Toc111194097"/>
      <w:bookmarkStart w:id="41" w:name="_Toc158207499"/>
      <w:bookmarkStart w:id="42" w:name="_Hlk162294039"/>
      <w:bookmarkStart w:id="43" w:name="_Toc165302036"/>
      <w:r>
        <w:t xml:space="preserve">Paediatric reference </w:t>
      </w:r>
      <w:bookmarkEnd w:id="36"/>
      <w:r>
        <w:t>phantoms</w:t>
      </w:r>
      <w:bookmarkEnd w:id="37"/>
      <w:bookmarkEnd w:id="38"/>
      <w:bookmarkEnd w:id="39"/>
      <w:bookmarkEnd w:id="40"/>
      <w:bookmarkEnd w:id="41"/>
      <w:bookmarkEnd w:id="42"/>
      <w:bookmarkEnd w:id="43"/>
    </w:p>
    <w:p w14:paraId="50E77B5B" w14:textId="77777777" w:rsidR="00E72CA9" w:rsidRDefault="00D516E3">
      <w:pPr>
        <w:pStyle w:val="Annalstext"/>
        <w:numPr>
          <w:ilvl w:val="0"/>
          <w:numId w:val="1"/>
        </w:numPr>
        <w:ind w:left="0"/>
      </w:pPr>
      <w:r>
        <w:t xml:space="preserve">The series of ten ICRP paediatric computational phantoms, described in </w:t>
      </w:r>
      <w:r>
        <w:rPr>
          <w:i/>
          <w:iCs/>
        </w:rPr>
        <w:t>Publication 143</w:t>
      </w:r>
      <w:r>
        <w:t xml:space="preserve"> </w:t>
      </w:r>
      <w:r>
        <w:fldChar w:fldCharType="begin"/>
      </w:r>
      <w:r>
        <w:instrText xml:space="preserve"> ADDIN EN.CITE &lt;EndNote&gt;&lt;Cite&gt;&lt;Author&gt;ICRP&lt;/Author&gt;&lt;Year&gt;2020&lt;/Year&gt;&lt;RecNum&gt;11821&lt;/RecNum&gt;&lt;DisplayText&gt;(ICRP, 2020a)&lt;/DisplayText&gt;&lt;record&gt;&lt;rec-number&gt;11821&lt;/rec-number&gt;&lt;foreign-keys&gt;&lt;key app="EN" db-id="rss5s0wzrpx9pwe5a0h5a9wkx9sf2zexde9d" timestamp="1612882712"&gt;11821&lt;/key&gt;&lt;/foreign-keys&gt;&lt;ref-type name="Journal Article"&gt;17&lt;/ref-type&gt;&lt;contributors&gt;&lt;authors&gt;&lt;author&gt;ICRP,&lt;/author&gt;&lt;/authors&gt;&lt;secondary-authors&gt;&lt;author&gt;Sage&lt;/author&gt;&lt;/secondary-authors&gt;&lt;/contributors&gt;&lt;titles&gt;&lt;title&gt;Paediatric Reference Computational Phantoms. ICRP Publication 143&lt;/title&gt;&lt;secondary-title&gt;Annals of the ICRP&lt;/secondary-title&gt;&lt;/titles&gt;&lt;periodical&gt;&lt;full-title&gt;Annals of the ICRP&lt;/full-title&gt;&lt;abbr-1&gt;Ann. ICRP&lt;/abbr-1&gt;&lt;abbr-2&gt;Ann ICRP&lt;/abbr-2&gt;&lt;/periodical&gt;&lt;volume&gt;49&lt;/volume&gt;&lt;number&gt;1&lt;/number&gt;&lt;dates&gt;&lt;year&gt;2020&lt;/year&gt;&lt;/dates&gt;&lt;publisher&gt;International Commission of Radiological Protection&lt;/publisher&gt;&lt;orig-pub&gt;Annals ICRP 49(1)&lt;/orig-pub&gt;&lt;isbn&gt;143&lt;/isbn&gt;&lt;work-type&gt;ICRP Publication&lt;/work-type&gt;&lt;urls&gt;&lt;/urls&gt;&lt;/record&gt;&lt;/Cite&gt;&lt;/EndNote&gt;</w:instrText>
      </w:r>
      <w:r>
        <w:fldChar w:fldCharType="separate"/>
      </w:r>
      <w:r>
        <w:rPr>
          <w:noProof/>
        </w:rPr>
        <w:t>(ICRP, 2020a)</w:t>
      </w:r>
      <w:r>
        <w:fldChar w:fldCharType="end"/>
      </w:r>
      <w:r>
        <w:t>, are the following:</w:t>
      </w:r>
    </w:p>
    <w:p w14:paraId="5B743EDA" w14:textId="77777777" w:rsidR="00E72CA9" w:rsidRDefault="00D516E3">
      <w:pPr>
        <w:pStyle w:val="Annalstext"/>
        <w:numPr>
          <w:ilvl w:val="0"/>
          <w:numId w:val="12"/>
        </w:numPr>
      </w:pPr>
      <w:r>
        <w:t>Newborn – Male and Female;</w:t>
      </w:r>
    </w:p>
    <w:p w14:paraId="159C2783" w14:textId="77777777" w:rsidR="00E72CA9" w:rsidRDefault="00D516E3">
      <w:pPr>
        <w:pStyle w:val="Annalstext"/>
        <w:numPr>
          <w:ilvl w:val="0"/>
          <w:numId w:val="12"/>
        </w:numPr>
      </w:pPr>
      <w:r>
        <w:t>1-year-old – Male and Female;</w:t>
      </w:r>
    </w:p>
    <w:p w14:paraId="22A478CD" w14:textId="77777777" w:rsidR="00E72CA9" w:rsidRDefault="00D516E3">
      <w:pPr>
        <w:pStyle w:val="Annalstext"/>
        <w:numPr>
          <w:ilvl w:val="0"/>
          <w:numId w:val="12"/>
        </w:numPr>
      </w:pPr>
      <w:r>
        <w:t>5-year-old – Male and Female;</w:t>
      </w:r>
    </w:p>
    <w:p w14:paraId="1ABB0A65" w14:textId="77777777" w:rsidR="00E72CA9" w:rsidRDefault="00D516E3">
      <w:pPr>
        <w:pStyle w:val="Annalstext"/>
        <w:numPr>
          <w:ilvl w:val="0"/>
          <w:numId w:val="12"/>
        </w:numPr>
      </w:pPr>
      <w:r>
        <w:t>10-year-old – Male and Female; and</w:t>
      </w:r>
    </w:p>
    <w:p w14:paraId="148A87D5" w14:textId="77777777" w:rsidR="00E72CA9" w:rsidRDefault="00D516E3">
      <w:pPr>
        <w:pStyle w:val="Annalstext"/>
        <w:numPr>
          <w:ilvl w:val="0"/>
          <w:numId w:val="12"/>
        </w:numPr>
        <w:spacing w:after="240"/>
      </w:pPr>
      <w:r>
        <w:t>15-year-old – Male and Female.</w:t>
      </w:r>
    </w:p>
    <w:p w14:paraId="2189A044" w14:textId="77777777" w:rsidR="00E72CA9" w:rsidRDefault="00D516E3">
      <w:pPr>
        <w:pStyle w:val="Annalstext"/>
        <w:numPr>
          <w:ilvl w:val="0"/>
          <w:numId w:val="1"/>
        </w:numPr>
        <w:ind w:left="0"/>
      </w:pPr>
      <w:r>
        <w:t xml:space="preserve">These phantoms were derived from a series of computational phantoms developed originally at the University of Florida (UF) and later in collaboration with the National Cancer Institute (NCI). Consequently, the original phantoms from which the ICRP paediatric reference phantoms were derived are presently referred to as the UF/NCI phantom series </w:t>
      </w:r>
      <w:r>
        <w:fldChar w:fldCharType="begin"/>
      </w:r>
      <w:r>
        <w:instrText xml:space="preserve"> ADDIN EN.CITE &lt;EndNote&gt;&lt;Cite&gt;&lt;Author&gt;Lee&lt;/Author&gt;&lt;Year&gt;2010&lt;/Year&gt;&lt;RecNum&gt;6141&lt;/RecNum&gt;&lt;DisplayText&gt;(Lee et al., 2010)&lt;/DisplayText&gt;&lt;record&gt;&lt;rec-number&gt;6141&lt;/rec-number&gt;&lt;foreign-keys&gt;&lt;key app="EN" db-id="rss5s0wzrpx9pwe5a0h5a9wkx9sf2zexde9d" timestamp="0"&gt;6141&lt;/key&gt;&lt;/foreign-keys&gt;&lt;ref-type name="Journal Article"&gt;17&lt;/ref-type&gt;&lt;contributors&gt;&lt;authors&gt;&lt;author&gt;Lee, C.&lt;/author&gt;&lt;author&gt;Lodwick, D.&lt;/author&gt;&lt;author&gt;Hurtado, J.&lt;/author&gt;&lt;author&gt;Pafundi, D.&lt;/author&gt;&lt;author&gt;Lwilliams, J.&lt;/author&gt;&lt;author&gt;Bolch, W. E.&lt;/author&gt;&lt;/authors&gt;&lt;/contributors&gt;&lt;titles&gt;&lt;title&gt;The UF family of reference hybrid phantoms for computational radiation dosimetry&lt;/title&gt;&lt;secondary-title&gt;Physics in Medicine and Biology&lt;/secondary-title&gt;&lt;/titles&gt;&lt;pages&gt;339-363&lt;/pages&gt;&lt;volume&gt;55&lt;/volume&gt;&lt;number&gt;2&lt;/number&gt;&lt;dates&gt;&lt;year&gt;2010&lt;/year&gt;&lt;/dates&gt;&lt;isbn&gt;0031-9155&lt;/isbn&gt;&lt;accession-num&gt;WOS:000272960400002&lt;/accession-num&gt;&lt;urls&gt;&lt;related-urls&gt;&lt;url&gt;&amp;lt;Go to ISI&amp;gt;://WOS:000272960400002 &lt;/url&gt;&lt;/related-urls&gt;&lt;/urls&gt;&lt;/record&gt;&lt;/Cite&gt;&lt;/EndNote&gt;</w:instrText>
      </w:r>
      <w:r>
        <w:fldChar w:fldCharType="separate"/>
      </w:r>
      <w:r>
        <w:rPr>
          <w:noProof/>
        </w:rPr>
        <w:t>(Lee et al., 2010)</w:t>
      </w:r>
      <w:r>
        <w:fldChar w:fldCharType="end"/>
      </w:r>
      <w:r>
        <w:t>. The UF/NCI phantoms are of a third generation of phantom technology – hybrid phantoms – in which the outer body contour and internal organ surfaces are modelled using the computer animation techniques of either polygon mesh or NURBS (</w:t>
      </w:r>
      <w:r>
        <w:rPr>
          <w:u w:val="single"/>
        </w:rPr>
        <w:t>N</w:t>
      </w:r>
      <w:r>
        <w:t>on-</w:t>
      </w:r>
      <w:r>
        <w:rPr>
          <w:u w:val="single"/>
        </w:rPr>
        <w:t>u</w:t>
      </w:r>
      <w:r>
        <w:t xml:space="preserve">niform </w:t>
      </w:r>
      <w:r>
        <w:rPr>
          <w:u w:val="single"/>
        </w:rPr>
        <w:t>r</w:t>
      </w:r>
      <w:r>
        <w:t>ational B-</w:t>
      </w:r>
      <w:r>
        <w:rPr>
          <w:u w:val="single"/>
        </w:rPr>
        <w:t>s</w:t>
      </w:r>
      <w:r>
        <w:t xml:space="preserve">pline) surfaces depending on the complexity of anatomical structures. The polygon meshes are a cluster of adjacent triangles, while the NURBS surfaces are a cluster of three-dimensional (3D) points in space between which a surface is interpolated. Over the past few years, it has become possible to use computational phantoms in these two formats directly in some Monte </w:t>
      </w:r>
      <w:r>
        <w:lastRenderedPageBreak/>
        <w:t xml:space="preserve">Carlo transport codes as necessary. However, most transport codes still utilise a voxel format, composed of tiny rectangular cuboids. A computer script was therefore used to convert the UF/NCI hybrid phantoms from their surface format to a voxel format for Monte Carlo simulations. These ICRP paediatric reference  phantoms in voxel format </w:t>
      </w:r>
      <w:r>
        <w:fldChar w:fldCharType="begin"/>
      </w:r>
      <w:r>
        <w:instrText xml:space="preserve"> ADDIN EN.CITE &lt;EndNote&gt;&lt;Cite&gt;&lt;Author&gt;ICRP&lt;/Author&gt;&lt;Year&gt;2020&lt;/Year&gt;&lt;RecNum&gt;11821&lt;/RecNum&gt;&lt;DisplayText&gt;(ICRP, 2020a)&lt;/DisplayText&gt;&lt;record&gt;&lt;rec-number&gt;11821&lt;/rec-number&gt;&lt;foreign-keys&gt;&lt;key app="EN" db-id="rss5s0wzrpx9pwe5a0h5a9wkx9sf2zexde9d" timestamp="1612882712"&gt;11821&lt;/key&gt;&lt;/foreign-keys&gt;&lt;ref-type name="Journal Article"&gt;17&lt;/ref-type&gt;&lt;contributors&gt;&lt;authors&gt;&lt;author&gt;ICRP,&lt;/author&gt;&lt;/authors&gt;&lt;secondary-authors&gt;&lt;author&gt;Sage&lt;/author&gt;&lt;/secondary-authors&gt;&lt;/contributors&gt;&lt;titles&gt;&lt;title&gt;Paediatric Reference Computational Phantoms. ICRP Publication 143&lt;/title&gt;&lt;secondary-title&gt;Annals of the ICRP&lt;/secondary-title&gt;&lt;/titles&gt;&lt;periodical&gt;&lt;full-title&gt;Annals of the ICRP&lt;/full-title&gt;&lt;abbr-1&gt;Ann. ICRP&lt;/abbr-1&gt;&lt;abbr-2&gt;Ann ICRP&lt;/abbr-2&gt;&lt;/periodical&gt;&lt;volume&gt;49&lt;/volume&gt;&lt;number&gt;1&lt;/number&gt;&lt;dates&gt;&lt;year&gt;2020&lt;/year&gt;&lt;/dates&gt;&lt;publisher&gt;International Commission of Radiological Protection&lt;/publisher&gt;&lt;orig-pub&gt;Annals ICRP 49(1)&lt;/orig-pub&gt;&lt;isbn&gt;143&lt;/isbn&gt;&lt;work-type&gt;ICRP Publication&lt;/work-type&gt;&lt;urls&gt;&lt;/urls&gt;&lt;/record&gt;&lt;/Cite&gt;&lt;/EndNote&gt;</w:instrText>
      </w:r>
      <w:r>
        <w:fldChar w:fldCharType="separate"/>
      </w:r>
      <w:r>
        <w:rPr>
          <w:noProof/>
        </w:rPr>
        <w:t>(ICRP, 2020a)</w:t>
      </w:r>
      <w:r>
        <w:fldChar w:fldCharType="end"/>
      </w:r>
      <w:r>
        <w:t xml:space="preserve"> are thus consistent with the format of the </w:t>
      </w:r>
      <w:r>
        <w:rPr>
          <w:iCs/>
        </w:rPr>
        <w:t>ICRP</w:t>
      </w:r>
      <w:r>
        <w:rPr>
          <w:i/>
        </w:rPr>
        <w:t xml:space="preserve"> Publication 110</w:t>
      </w:r>
      <w:r>
        <w:t xml:space="preserve"> adult reference phantoms </w:t>
      </w:r>
      <w:r>
        <w:fldChar w:fldCharType="begin"/>
      </w:r>
      <w:r>
        <w:instrText xml:space="preserve"> ADDIN EN.CITE &lt;EndNote&gt;&lt;Cite&gt;&lt;Author&gt;ICRP&lt;/Author&gt;&lt;Year&gt;2009&lt;/Year&gt;&lt;RecNum&gt;3450&lt;/RecNum&gt;&lt;DisplayText&gt;(ICRP, 2009a)&lt;/DisplayText&gt;&lt;record&gt;&lt;rec-number&gt;3450&lt;/rec-number&gt;&lt;foreign-keys&gt;&lt;key app="EN" db-id="tewdatv2kswps0ep9wgxe0tjvatvprte2wrd" timestamp="1681399866"&gt;3450&lt;/key&gt;&lt;/foreign-keys&gt;&lt;ref-type name="Report"&gt;27&lt;/ref-type&gt;&lt;contributors&gt;&lt;authors&gt;&lt;author&gt;ICRP,&lt;/author&gt;&lt;/authors&gt;&lt;secondary-authors&gt;&lt;author&gt;Elsevier&lt;/author&gt;&lt;/secondary-authors&gt;&lt;/contributors&gt;&lt;titles&gt;&lt;title&gt;Adult reference computational phantoms&lt;/title&gt;&lt;secondary-title&gt;ICRP Publication 110&lt;/secondary-title&gt;&lt;/titles&gt;&lt;dates&gt;&lt;year&gt;2009&lt;/year&gt;&lt;/dates&gt;&lt;pub-location&gt;Oxford, UK&lt;/pub-location&gt;&lt;publisher&gt;International Commission on Radiological Protection&lt;/publisher&gt;&lt;orig-pub&gt;Ann. ICRP 39(2)&lt;/orig-pub&gt;&lt;isbn&gt;ICRP Publication 110&lt;/isbn&gt;&lt;work-type&gt;ICRP Publication&lt;/work-type&gt;&lt;urls&gt;&lt;/urls&gt;&lt;/record&gt;&lt;/Cite&gt;&lt;/EndNote&gt;</w:instrText>
      </w:r>
      <w:r>
        <w:fldChar w:fldCharType="separate"/>
      </w:r>
      <w:r>
        <w:rPr>
          <w:noProof/>
        </w:rPr>
        <w:t>(ICRP, 2009a)</w:t>
      </w:r>
      <w:r>
        <w:fldChar w:fldCharType="end"/>
      </w:r>
      <w:r>
        <w:t>.</w:t>
      </w:r>
    </w:p>
    <w:p w14:paraId="37D618C9" w14:textId="77777777" w:rsidR="00E72CA9" w:rsidRDefault="00D516E3">
      <w:pPr>
        <w:pStyle w:val="Annalstext"/>
        <w:numPr>
          <w:ilvl w:val="0"/>
          <w:numId w:val="1"/>
        </w:numPr>
        <w:ind w:left="0"/>
      </w:pPr>
      <w:bookmarkStart w:id="44" w:name="_Hlk146544261"/>
      <w:r>
        <w:t xml:space="preserve">As noted in Lee et al. </w:t>
      </w:r>
      <w:r>
        <w:fldChar w:fldCharType="begin"/>
      </w:r>
      <w:r>
        <w:instrText xml:space="preserve"> ADDIN EN.CITE &lt;EndNote&gt;&lt;Cite ExcludeAuth="1"&gt;&lt;Author&gt;Lee&lt;/Author&gt;&lt;Year&gt;2010&lt;/Year&gt;&lt;RecNum&gt;6141&lt;/RecNum&gt;&lt;DisplayText&gt;(2010)&lt;/DisplayText&gt;&lt;record&gt;&lt;rec-number&gt;6141&lt;/rec-number&gt;&lt;foreign-keys&gt;&lt;key app="EN" db-id="rss5s0wzrpx9pwe5a0h5a9wkx9sf2zexde9d" timestamp="0"&gt;6141&lt;/key&gt;&lt;/foreign-keys&gt;&lt;ref-type name="Journal Article"&gt;17&lt;/ref-type&gt;&lt;contributors&gt;&lt;authors&gt;&lt;author&gt;Lee, C.&lt;/author&gt;&lt;author&gt;Lodwick, D.&lt;/author&gt;&lt;author&gt;Hurtado, J.&lt;/author&gt;&lt;author&gt;Pafundi, D.&lt;/author&gt;&lt;author&gt;Lwilliams, J.&lt;/author&gt;&lt;author&gt;Bolch, W. E.&lt;/author&gt;&lt;/authors&gt;&lt;/contributors&gt;&lt;titles&gt;&lt;title&gt;The UF family of reference hybrid phantoms for computational radiation dosimetry&lt;/title&gt;&lt;secondary-title&gt;Physics in Medicine and Biology&lt;/secondary-title&gt;&lt;/titles&gt;&lt;pages&gt;339-363&lt;/pages&gt;&lt;volume&gt;55&lt;/volume&gt;&lt;number&gt;2&lt;/number&gt;&lt;dates&gt;&lt;year&gt;2010&lt;/year&gt;&lt;/dates&gt;&lt;isbn&gt;0031-9155&lt;/isbn&gt;&lt;accession-num&gt;WOS:000272960400002&lt;/accession-num&gt;&lt;urls&gt;&lt;related-urls&gt;&lt;url&gt;&amp;lt;Go to ISI&amp;gt;://WOS:000272960400002 &lt;/url&gt;&lt;/related-urls&gt;&lt;/urls&gt;&lt;/record&gt;&lt;/Cite&gt;&lt;/EndNote&gt;</w:instrText>
      </w:r>
      <w:r>
        <w:fldChar w:fldCharType="separate"/>
      </w:r>
      <w:r>
        <w:rPr>
          <w:noProof/>
        </w:rPr>
        <w:t>(2010)</w:t>
      </w:r>
      <w:r>
        <w:fldChar w:fldCharType="end"/>
      </w:r>
      <w:r>
        <w:t>, the UF/NCI series of phantoms are traceable directly to real human anatomy. The newborn phantom is based upon full-body CT imaging of a 6-day female cadaver, while the remainder of the paediatric series (1-year-old to 15-year-old phantoms) are based upon combinations of head CT images, full torso CT images, and rescaled CT-based images of adult arms and legs. The latter approach was necessary since medical imaging of children rarely include the arms within the imaging field</w:t>
      </w:r>
      <w:bookmarkEnd w:id="44"/>
      <w:r>
        <w:t xml:space="preserve">. </w:t>
      </w:r>
      <w:r>
        <w:rPr>
          <w:color w:val="000000" w:themeColor="text1"/>
        </w:rPr>
        <w:t xml:space="preserve">For computed tomography sources employed in the development of these phantoms the reader is referred to Table 3.1 of </w:t>
      </w:r>
      <w:r>
        <w:rPr>
          <w:i/>
          <w:color w:val="000000" w:themeColor="text1"/>
        </w:rPr>
        <w:t xml:space="preserve">Publication </w:t>
      </w:r>
      <w:r>
        <w:rPr>
          <w:color w:val="000000" w:themeColor="text1"/>
        </w:rPr>
        <w:t xml:space="preserve">143 (ICRP, 2020). From the initial series of segmented images, various </w:t>
      </w:r>
      <w:r>
        <w:t xml:space="preserve">anatomic sources were used to resize both internal organ anatomy and exterior body size. The most important document used was </w:t>
      </w:r>
      <w:r>
        <w:rPr>
          <w:i/>
          <w:iCs/>
        </w:rPr>
        <w:t>Publication 89</w:t>
      </w:r>
      <w:r>
        <w:t xml:space="preserve"> providing internal organ masses, and values of total mass and height – see Table 2.1. Additional reference sources were used to target various body circumferential dimensions not given as reference values in </w:t>
      </w:r>
      <w:r>
        <w:rPr>
          <w:i/>
          <w:iCs/>
        </w:rPr>
        <w:t>Publication 89</w:t>
      </w:r>
      <w:r>
        <w:t xml:space="preserve"> (ICRP, 2002). The final series of the UF/NCI hybrid phantoms thus fully conforms to reference anatomy specified by the Commission and are fully traceable to real human CT anatomy. In this manner, the ICRP paediatric reference phantom series is fully compatible with the process used to develop the </w:t>
      </w:r>
      <w:r>
        <w:rPr>
          <w:i/>
          <w:iCs/>
        </w:rPr>
        <w:t>Publication 110</w:t>
      </w:r>
      <w:r>
        <w:t xml:space="preserve"> phantoms, which also were based upon segmentation of real human CT anatomy.</w:t>
      </w:r>
    </w:p>
    <w:p w14:paraId="2B81A6D2" w14:textId="77777777" w:rsidR="00E72CA9" w:rsidRDefault="00D516E3">
      <w:pPr>
        <w:pStyle w:val="Annalstext"/>
        <w:numPr>
          <w:ilvl w:val="0"/>
          <w:numId w:val="1"/>
        </w:numPr>
        <w:ind w:left="0"/>
      </w:pPr>
      <w:r>
        <w:t xml:space="preserve">Another unique feature of the ICRP paediatric reference phantoms (and of the UF/NCI phantoms), is their explicit coupling to </w:t>
      </w:r>
      <w:proofErr w:type="spellStart"/>
      <w:r>
        <w:t>microCT</w:t>
      </w:r>
      <w:proofErr w:type="spellEnd"/>
      <w:r>
        <w:t xml:space="preserve">-based models of skeletal dosimetry. As noted in Hough et al. </w:t>
      </w:r>
      <w:r>
        <w:fldChar w:fldCharType="begin"/>
      </w:r>
      <w:r>
        <w:instrText xml:space="preserve"> ADDIN EN.CITE &lt;EndNote&gt;&lt;Cite ExcludeAuth="1"&gt;&lt;Author&gt;Hough&lt;/Author&gt;&lt;Year&gt;2011&lt;/Year&gt;&lt;RecNum&gt;8931&lt;/RecNum&gt;&lt;DisplayText&gt;(2011)&lt;/DisplayText&gt;&lt;record&gt;&lt;rec-number&gt;8931&lt;/rec-number&gt;&lt;foreign-keys&gt;&lt;key app="EN" db-id="rss5s0wzrpx9pwe5a0h5a9wkx9sf2zexde9d" timestamp="0"&gt;8931&lt;/key&gt;&lt;/foreign-keys&gt;&lt;ref-type name="Journal Article"&gt;17&lt;/ref-type&gt;&lt;contributors&gt;&lt;authors&gt;&lt;author&gt;Hough, Matthew&lt;/author&gt;&lt;author&gt;Johnson, Perry &lt;/author&gt;&lt;author&gt;Rajon, Didier &lt;/author&gt;&lt;author&gt;Jokisch, Derek &lt;/author&gt;&lt;author&gt;Lee, Choonsik &lt;/author&gt;&lt;author&gt;Bolch, Wesley &lt;/author&gt;&lt;/authors&gt;&lt;/contributors&gt;&lt;titles&gt;&lt;title&gt;An image-based skeletal dosimetry model for the ICRP reference adult male—internal electron sources&lt;/title&gt;&lt;secondary-title&gt;Physics in Medicine and Biology&lt;/secondary-title&gt;&lt;/titles&gt;&lt;pages&gt;2309-2346&lt;/pages&gt;&lt;volume&gt;56&lt;/volume&gt;&lt;number&gt;8&lt;/number&gt;&lt;dates&gt;&lt;year&gt;2011&lt;/year&gt;&lt;/dates&gt;&lt;isbn&gt;0031-9155&lt;/isbn&gt;&lt;urls&gt;&lt;related-urls&gt;&lt;url&gt;http://stacks.iop.org/0031-9155/56/i=8/a=001 &lt;/url&gt;&lt;/related-urls&gt;&lt;/urls&gt;&lt;/record&gt;&lt;/Cite&gt;&lt;/EndNote&gt;</w:instrText>
      </w:r>
      <w:r>
        <w:fldChar w:fldCharType="separate"/>
      </w:r>
      <w:r>
        <w:rPr>
          <w:noProof/>
        </w:rPr>
        <w:t>(2011)</w:t>
      </w:r>
      <w:r>
        <w:fldChar w:fldCharType="end"/>
      </w:r>
      <w:r>
        <w:t xml:space="preserve"> and in Johnson et al. </w:t>
      </w:r>
      <w:r>
        <w:fldChar w:fldCharType="begin"/>
      </w:r>
      <w:r>
        <w:instrText xml:space="preserve"> ADDIN EN.CITE &lt;EndNote&gt;&lt;Cite ExcludeAuth="1"&gt;&lt;Author&gt;Johnson&lt;/Author&gt;&lt;Year&gt;2011&lt;/Year&gt;&lt;RecNum&gt;8932&lt;/RecNum&gt;&lt;DisplayText&gt;(2011)&lt;/DisplayText&gt;&lt;record&gt;&lt;rec-number&gt;8932&lt;/rec-number&gt;&lt;foreign-keys&gt;&lt;key app="EN" db-id="rss5s0wzrpx9pwe5a0h5a9wkx9sf2zexde9d" timestamp="0"&gt;8932&lt;/key&gt;&lt;/foreign-keys&gt;&lt;ref-type name="Journal Article"&gt;17&lt;/ref-type&gt;&lt;contributors&gt;&lt;authors&gt;&lt;author&gt;Johnson, Perry B. &lt;/author&gt;&lt;author&gt;Bahadori, Amir A. &lt;/author&gt;&lt;author&gt;Eckerman, Keith F. &lt;/author&gt;&lt;author&gt;Lee, Choonsik &lt;/author&gt;&lt;author&gt;Bolch, Wesley E. &lt;/author&gt;&lt;/authors&gt;&lt;/contributors&gt;&lt;titles&gt;&lt;title&gt;&lt;style face="normal" font="default" size="100%"&gt;Response functions for computing absorbed dose to skeletal tissues from photon irradiation &lt;/style&gt;&lt;style face="normal" font="Symbol" charset="2" size="100%"&gt;-&lt;/style&gt;&lt;style face="normal" font="default" size="100%"&gt; an update&lt;/style&gt;&lt;/title&gt;&lt;secondary-title&gt;Physics in Medicine and Biology&lt;/secondary-title&gt;&lt;/titles&gt;&lt;pages&gt;2347–2365&lt;/pages&gt;&lt;volume&gt;56&lt;/volume&gt;&lt;number&gt;8&lt;/number&gt;&lt;dates&gt;&lt;year&gt;2011&lt;/year&gt;&lt;/dates&gt;&lt;isbn&gt;0031-9155&lt;/isbn&gt;&lt;urls&gt;&lt;related-urls&gt;&lt;url&gt;http://stacks.iop.org/0031-9155/56/i=8/a=002 &lt;/url&gt;&lt;/related-urls&gt;&lt;/urls&gt;&lt;/record&gt;&lt;/Cite&gt;&lt;/EndNote&gt;</w:instrText>
      </w:r>
      <w:r>
        <w:fldChar w:fldCharType="separate"/>
      </w:r>
      <w:r>
        <w:rPr>
          <w:noProof/>
        </w:rPr>
        <w:t>(2011)</w:t>
      </w:r>
      <w:r>
        <w:fldChar w:fldCharType="end"/>
      </w:r>
      <w:r>
        <w:t xml:space="preserve">, an extensive series of cadaver bone harvests, ex-vivo skeletal CT imaging, and ex-vivo spongiosa core </w:t>
      </w:r>
      <w:proofErr w:type="spellStart"/>
      <w:r>
        <w:t>microCT</w:t>
      </w:r>
      <w:proofErr w:type="spellEnd"/>
      <w:r>
        <w:t xml:space="preserve"> imaging, were used to construct models of tissue dosimetry in the skeletons of the ICRP adult reference phantoms. This work is more formally described in Annexes D and E of </w:t>
      </w:r>
      <w:r>
        <w:rPr>
          <w:i/>
        </w:rPr>
        <w:t>Publication 116</w:t>
      </w:r>
      <w:r>
        <w:t xml:space="preserve"> </w:t>
      </w:r>
      <w:r>
        <w:fldChar w:fldCharType="begin"/>
      </w:r>
      <w:r>
        <w:instrText xml:space="preserve"> ADDIN EN.CITE &lt;EndNote&gt;&lt;Cite&gt;&lt;Author&gt;ICRP&lt;/Author&gt;&lt;Year&gt;2013&lt;/Year&gt;&lt;RecNum&gt;9087&lt;/RecNum&gt;&lt;DisplayText&gt;(ICRP, 2013)&lt;/DisplayText&gt;&lt;record&gt;&lt;rec-number&gt;9087&lt;/rec-number&gt;&lt;foreign-keys&gt;&lt;key app="EN" db-id="rss5s0wzrpx9pwe5a0h5a9wkx9sf2zexde9d" timestamp="0"&gt;9087&lt;/key&gt;&lt;/foreign-keys&gt;&lt;ref-type name="Report"&gt;27&lt;/ref-type&gt;&lt;contributors&gt;&lt;authors&gt;&lt;author&gt;ICRP,&lt;/author&gt;&lt;/authors&gt;&lt;secondary-authors&gt;&lt;author&gt;Elsevier&lt;/author&gt;&lt;/secondary-authors&gt;&lt;tertiary-authors&gt;&lt;author&gt;Elsevier&lt;/author&gt;&lt;/tertiary-authors&gt;&lt;/contributors&gt;&lt;titles&gt;&lt;title&gt;Assessment of Radiation Exposure of Astronauts in Space.&lt;/title&gt;&lt;secondary-title&gt;ICRP Publication &lt;/secondary-title&gt;&lt;/titles&gt;&lt;volume&gt;42&lt;/volume&gt;&lt;num-vols&gt;4&lt;/num-vols&gt;&lt;dates&gt;&lt;year&gt;2013&lt;/year&gt;&lt;/dates&gt;&lt;pub-location&gt;Oxford, UK&lt;/pub-location&gt;&lt;publisher&gt;International Commission of Radiological Protection&lt;/publisher&gt;&lt;orig-pub&gt;Ann. ICRP 42(4)&lt;/orig-pub&gt;&lt;isbn&gt;123&lt;/isbn&gt;&lt;work-type&gt;ICRP Publication&lt;/work-type&gt;&lt;urls&gt;&lt;/urls&gt;&lt;/record&gt;&lt;/Cite&gt;&lt;/EndNote&gt;</w:instrText>
      </w:r>
      <w:r>
        <w:fldChar w:fldCharType="separate"/>
      </w:r>
      <w:r>
        <w:rPr>
          <w:noProof/>
        </w:rPr>
        <w:t>(ICRP, 2013)</w:t>
      </w:r>
      <w:r>
        <w:fldChar w:fldCharType="end"/>
      </w:r>
      <w:r>
        <w:t xml:space="preserve">. The paediatric series of ICRP reference phantoms similarly have accompanying models of skeletal anatomy at both its macrostructural and microstructural dimensions. Thus, the methods proposed in </w:t>
      </w:r>
      <w:r>
        <w:rPr>
          <w:i/>
        </w:rPr>
        <w:t>Publication 116</w:t>
      </w:r>
      <w:r>
        <w:t xml:space="preserve"> </w:t>
      </w:r>
      <w:r>
        <w:fldChar w:fldCharType="begin"/>
      </w:r>
      <w:r>
        <w:instrText xml:space="preserve"> ADDIN EN.CITE &lt;EndNote&gt;&lt;Cite&gt;&lt;Author&gt;ICRP&lt;/Author&gt;&lt;Year&gt;2013&lt;/Year&gt;&lt;RecNum&gt;9087&lt;/RecNum&gt;&lt;DisplayText&gt;(ICRP, 2013)&lt;/DisplayText&gt;&lt;record&gt;&lt;rec-number&gt;9087&lt;/rec-number&gt;&lt;foreign-keys&gt;&lt;key app="EN" db-id="rss5s0wzrpx9pwe5a0h5a9wkx9sf2zexde9d" timestamp="0"&gt;9087&lt;/key&gt;&lt;/foreign-keys&gt;&lt;ref-type name="Report"&gt;27&lt;/ref-type&gt;&lt;contributors&gt;&lt;authors&gt;&lt;author&gt;ICRP,&lt;/author&gt;&lt;/authors&gt;&lt;secondary-authors&gt;&lt;author&gt;Elsevier&lt;/author&gt;&lt;/secondary-authors&gt;&lt;tertiary-authors&gt;&lt;author&gt;Elsevier&lt;/author&gt;&lt;/tertiary-authors&gt;&lt;/contributors&gt;&lt;titles&gt;&lt;title&gt;Assessment of Radiation Exposure of Astronauts in Space.&lt;/title&gt;&lt;secondary-title&gt;ICRP Publication &lt;/secondary-title&gt;&lt;/titles&gt;&lt;volume&gt;42&lt;/volume&gt;&lt;num-vols&gt;4&lt;/num-vols&gt;&lt;dates&gt;&lt;year&gt;2013&lt;/year&gt;&lt;/dates&gt;&lt;pub-location&gt;Oxford, UK&lt;/pub-location&gt;&lt;publisher&gt;International Commission of Radiological Protection&lt;/publisher&gt;&lt;orig-pub&gt;Ann. ICRP 42(4)&lt;/orig-pub&gt;&lt;isbn&gt;123&lt;/isbn&gt;&lt;work-type&gt;ICRP Publication&lt;/work-type&gt;&lt;urls&gt;&lt;/urls&gt;&lt;/record&gt;&lt;/Cite&gt;&lt;/EndNote&gt;</w:instrText>
      </w:r>
      <w:r>
        <w:fldChar w:fldCharType="separate"/>
      </w:r>
      <w:r>
        <w:rPr>
          <w:noProof/>
        </w:rPr>
        <w:t>(ICRP, 2013)</w:t>
      </w:r>
      <w:r>
        <w:fldChar w:fldCharType="end"/>
      </w:r>
      <w:r>
        <w:t xml:space="preserve"> for external photons and neutrons, and in </w:t>
      </w:r>
      <w:r>
        <w:rPr>
          <w:i/>
        </w:rPr>
        <w:t>Publication 133</w:t>
      </w:r>
      <w:r>
        <w:t xml:space="preserve"> </w:t>
      </w:r>
      <w:r>
        <w:fldChar w:fldCharType="begin"/>
      </w:r>
      <w:r>
        <w:instrText xml:space="preserve"> ADDIN EN.CITE &lt;EndNote&gt;&lt;Cite&gt;&lt;Author&gt;ICRP&lt;/Author&gt;&lt;Year&gt;2016&lt;/Year&gt;&lt;RecNum&gt;12457&lt;/RecNum&gt;&lt;DisplayText&gt;(ICRP, 2016b)&lt;/DisplayText&gt;&lt;record&gt;&lt;rec-number&gt;12457&lt;/rec-number&gt;&lt;foreign-keys&gt;&lt;key app="EN" db-id="rss5s0wzrpx9pwe5a0h5a9wkx9sf2zexde9d" timestamp="1685437260"&gt;12457&lt;/key&gt;&lt;/foreign-keys&gt;&lt;ref-type name="Journal Article"&gt;17&lt;/ref-type&gt;&lt;contributors&gt;&lt;authors&gt;&lt;author&gt;ICRP,&lt;/author&gt;&lt;/authors&gt;&lt;secondary-authors&gt;&lt;author&gt;Sage&lt;/author&gt;&lt;/secondary-authors&gt;&lt;/contributors&gt;&lt;titles&gt;&lt;title&gt;The ICRP computational framework for internal dose assessment for reference adults: specific absorbed fractions. ICRP Publication 133.&lt;/title&gt;&lt;secondary-title&gt;Annals of the ICRP&lt;/secondary-title&gt;&lt;/titles&gt;&lt;periodical&gt;&lt;full-title&gt;Annals of the ICRP&lt;/full-title&gt;&lt;abbr-1&gt;Ann. ICRP&lt;/abbr-1&gt;&lt;abbr-2&gt;Ann ICRP&lt;/abbr-2&gt;&lt;/periodical&gt;&lt;pages&gt;1-74&lt;/pages&gt;&lt;volume&gt;45&lt;/volume&gt;&lt;number&gt;2&lt;/number&gt;&lt;dates&gt;&lt;year&gt;2016&lt;/year&gt;&lt;/dates&gt;&lt;publisher&gt;International Commission of Radiological Protection&lt;/publisher&gt;&lt;orig-pub&gt;Annals ICRP 45(2)&lt;/orig-pub&gt;&lt;work-type&gt;ICRP Publication&lt;/work-type&gt;&lt;urls&gt;&lt;/urls&gt;&lt;/record&gt;&lt;/Cite&gt;&lt;/EndNote&gt;</w:instrText>
      </w:r>
      <w:r>
        <w:fldChar w:fldCharType="separate"/>
      </w:r>
      <w:r>
        <w:rPr>
          <w:noProof/>
        </w:rPr>
        <w:t>(ICRP, 2016b)</w:t>
      </w:r>
      <w:r>
        <w:fldChar w:fldCharType="end"/>
      </w:r>
      <w:r>
        <w:t xml:space="preserve"> for internal beta and alpha particles, as well as photons, for the </w:t>
      </w:r>
      <w:r>
        <w:rPr>
          <w:iCs/>
        </w:rPr>
        <w:t>ICRP</w:t>
      </w:r>
      <w:r>
        <w:rPr>
          <w:i/>
        </w:rPr>
        <w:t xml:space="preserve"> Publication 110</w:t>
      </w:r>
      <w:r>
        <w:t xml:space="preserve"> adult reference phantoms, are available in reporting skeletal tissue dosimetry to paediatric phantoms of the reference series.</w:t>
      </w:r>
    </w:p>
    <w:p w14:paraId="27E98AED" w14:textId="77777777" w:rsidR="00E72CA9" w:rsidRDefault="00D516E3">
      <w:pPr>
        <w:pStyle w:val="Annalstext"/>
        <w:numPr>
          <w:ilvl w:val="0"/>
          <w:numId w:val="1"/>
        </w:numPr>
        <w:ind w:left="0"/>
      </w:pPr>
      <w:r>
        <w:t xml:space="preserve">In the ICRP implementation (ICRP, 2020), the following further refinements have been made to the UF/NCI series of paediatric phantoms </w:t>
      </w:r>
      <w:r>
        <w:fldChar w:fldCharType="begin"/>
      </w:r>
      <w:r>
        <w:instrText xml:space="preserve"> ADDIN EN.CITE &lt;EndNote&gt;&lt;Cite&gt;&lt;Author&gt;Pafundi&lt;/Author&gt;&lt;Year&gt;2009&lt;/Year&gt;&lt;RecNum&gt;10564&lt;/RecNum&gt;&lt;DisplayText&gt;(Pafundi, 2009; Wayson, 2012)&lt;/DisplayText&gt;&lt;record&gt;&lt;rec-number&gt;10564&lt;/rec-number&gt;&lt;foreign-keys&gt;&lt;key app="EN" db-id="rss5s0wzrpx9pwe5a0h5a9wkx9sf2zexde9d" timestamp="1513334022"&gt;10564&lt;/key&gt;&lt;/foreign-keys&gt;&lt;ref-type name="Classical Work"&gt;49&lt;/ref-type&gt;&lt;contributors&gt;&lt;authors&gt;&lt;author&gt;Pafundi, D H &lt;/author&gt;&lt;/authors&gt;&lt;/contributors&gt;&lt;titles&gt;&lt;title&gt; Image-based skeletal tissue and electron dosimetry models for the ICRP reference pediatric age series&lt;/title&gt;&lt;/titles&gt;&lt;dates&gt;&lt;year&gt;2009&lt;/year&gt;&lt;/dates&gt;&lt;pub-location&gt;Biomedical Engineering, University of Florida, PhD Dissertation&lt;/pub-location&gt;&lt;urls&gt;&lt;/urls&gt;&lt;/record&gt;&lt;/Cite&gt;&lt;Cite&gt;&lt;Author&gt;Wayson&lt;/Author&gt;&lt;Year&gt;2012&lt;/Year&gt;&lt;RecNum&gt;10563&lt;/RecNum&gt;&lt;record&gt;&lt;rec-number&gt;10563&lt;/rec-number&gt;&lt;foreign-keys&gt;&lt;key app="EN" db-id="rss5s0wzrpx9pwe5a0h5a9wkx9sf2zexde9d" timestamp="1513333937"&gt;10563&lt;/key&gt;&lt;/foreign-keys&gt;&lt;ref-type name="Thesis"&gt;32&lt;/ref-type&gt;&lt;contributors&gt;&lt;authors&gt;&lt;author&gt;Wayson, M B&lt;/author&gt;&lt;/authors&gt;&lt;/contributors&gt;&lt;titles&gt;&lt;title&gt;Computational Internal Dosimetry Methods as Applied to the University of Florida Series of Hybrid Phantoms. Biomedical Engineering, Dissertation, University of Florida&lt;/title&gt;&lt;/titles&gt;&lt;dates&gt;&lt;year&gt;2012&lt;/year&gt;&lt;/dates&gt;&lt;pub-location&gt;Biomedical Engineering, University of Florida, Dissertation&lt;/pub-location&gt;&lt;urls&gt;&lt;/urls&gt;&lt;/record&gt;&lt;/Cite&gt;&lt;/EndNote&gt;</w:instrText>
      </w:r>
      <w:r>
        <w:fldChar w:fldCharType="separate"/>
      </w:r>
      <w:r>
        <w:rPr>
          <w:noProof/>
        </w:rPr>
        <w:t>(Pafundi, 2009; Wayson, 2012)</w:t>
      </w:r>
      <w:r>
        <w:fldChar w:fldCharType="end"/>
      </w:r>
      <w:r>
        <w:t>:</w:t>
      </w:r>
    </w:p>
    <w:p w14:paraId="45836842" w14:textId="77777777" w:rsidR="00E72CA9" w:rsidRDefault="00D516E3">
      <w:pPr>
        <w:pStyle w:val="Annalstext"/>
        <w:numPr>
          <w:ilvl w:val="0"/>
          <w:numId w:val="13"/>
        </w:numPr>
        <w:tabs>
          <w:tab w:val="clear" w:pos="851"/>
          <w:tab w:val="left" w:pos="709"/>
        </w:tabs>
        <w:ind w:left="426" w:hanging="426"/>
        <w:rPr>
          <w:szCs w:val="24"/>
        </w:rPr>
      </w:pPr>
      <w:r>
        <w:t>a sub-segmented skeletal model to include regions of</w:t>
      </w:r>
      <w:r>
        <w:rPr>
          <w:szCs w:val="24"/>
        </w:rPr>
        <w:t xml:space="preserve"> cortical bone, spongiosa, and medullary marrow;</w:t>
      </w:r>
    </w:p>
    <w:p w14:paraId="5D4394BA" w14:textId="77777777" w:rsidR="00E72CA9" w:rsidRDefault="00D516E3">
      <w:pPr>
        <w:pStyle w:val="Annalstext"/>
        <w:numPr>
          <w:ilvl w:val="0"/>
          <w:numId w:val="13"/>
        </w:numPr>
        <w:tabs>
          <w:tab w:val="clear" w:pos="851"/>
          <w:tab w:val="left" w:pos="709"/>
        </w:tabs>
        <w:ind w:left="426" w:hanging="426"/>
      </w:pPr>
      <w:r>
        <w:t>photon dose response functions for internal and external photon dosimetry to active marrow and endosteum;</w:t>
      </w:r>
    </w:p>
    <w:p w14:paraId="04AD7ADE" w14:textId="77777777" w:rsidR="00E72CA9" w:rsidRDefault="00D516E3">
      <w:pPr>
        <w:pStyle w:val="a7"/>
        <w:numPr>
          <w:ilvl w:val="0"/>
          <w:numId w:val="11"/>
        </w:numPr>
        <w:tabs>
          <w:tab w:val="left" w:pos="426"/>
          <w:tab w:val="left" w:pos="720"/>
          <w:tab w:val="left" w:pos="852"/>
        </w:tabs>
        <w:ind w:left="567" w:hanging="567"/>
        <w:jc w:val="both"/>
        <w:rPr>
          <w:rFonts w:ascii="Times New Roman" w:hAnsi="Times New Roman"/>
          <w:i/>
          <w:sz w:val="24"/>
          <w:szCs w:val="24"/>
          <w:lang w:val="en-GB"/>
        </w:rPr>
      </w:pPr>
      <w:r>
        <w:rPr>
          <w:rFonts w:ascii="Times New Roman" w:hAnsi="Times New Roman"/>
          <w:sz w:val="24"/>
          <w:szCs w:val="24"/>
          <w:lang w:val="en-GB"/>
        </w:rPr>
        <w:t xml:space="preserve">new age-specific regional blood distribution model </w:t>
      </w:r>
      <w:r>
        <w:rPr>
          <w:rFonts w:ascii="Times New Roman" w:hAnsi="Times New Roman"/>
          <w:sz w:val="24"/>
          <w:szCs w:val="24"/>
          <w:lang w:val="en-GB"/>
        </w:rPr>
        <w:fldChar w:fldCharType="begin"/>
      </w:r>
      <w:r>
        <w:rPr>
          <w:rFonts w:ascii="Times New Roman" w:hAnsi="Times New Roman"/>
          <w:sz w:val="24"/>
          <w:szCs w:val="24"/>
          <w:lang w:val="en-GB"/>
        </w:rPr>
        <w:instrText xml:space="preserve"> ADDIN EN.CITE &lt;EndNote&gt;&lt;Cite&gt;&lt;Author&gt;Wayson&lt;/Author&gt;&lt;Year&gt;2012&lt;/Year&gt;&lt;RecNum&gt;10563&lt;/RecNum&gt;&lt;DisplayText&gt;(Wayson, 2012)&lt;/DisplayText&gt;&lt;record&gt;&lt;rec-number&gt;10563&lt;/rec-number&gt;&lt;foreign-keys&gt;&lt;key app="EN" db-id="rss5s0wzrpx9pwe5a0h5a9wkx9sf2zexde9d" timestamp="1513333937"&gt;10563&lt;/key&gt;&lt;/foreign-keys&gt;&lt;ref-type name="Thesis"&gt;32&lt;/ref-type&gt;&lt;contributors&gt;&lt;authors&gt;&lt;author&gt;Wayson, M B&lt;/author&gt;&lt;/authors&gt;&lt;/contributors&gt;&lt;titles&gt;&lt;title&gt;Computational Internal Dosimetry Methods as Applied to the University of Florida Series of Hybrid Phantoms. Biomedical Engineering, Dissertation, University of Florida&lt;/title&gt;&lt;/titles&gt;&lt;dates&gt;&lt;year&gt;2012&lt;/year&gt;&lt;/dates&gt;&lt;pub-location&gt;Biomedical Engineering, University of Florida, Dissertation&lt;/pub-location&gt;&lt;urls&gt;&lt;/urls&gt;&lt;/record&gt;&lt;/Cite&gt;&lt;/EndNote&gt;</w:instrText>
      </w:r>
      <w:r>
        <w:rPr>
          <w:rFonts w:ascii="Times New Roman" w:hAnsi="Times New Roman"/>
          <w:sz w:val="24"/>
          <w:szCs w:val="24"/>
          <w:lang w:val="en-GB"/>
        </w:rPr>
        <w:fldChar w:fldCharType="separate"/>
      </w:r>
      <w:r>
        <w:rPr>
          <w:rFonts w:ascii="Times New Roman" w:hAnsi="Times New Roman"/>
          <w:noProof/>
          <w:sz w:val="24"/>
          <w:szCs w:val="24"/>
          <w:lang w:val="en-GB"/>
        </w:rPr>
        <w:t>(Wayson, 2012)</w:t>
      </w:r>
      <w:r>
        <w:rPr>
          <w:rFonts w:ascii="Times New Roman" w:hAnsi="Times New Roman"/>
          <w:sz w:val="24"/>
          <w:szCs w:val="24"/>
          <w:lang w:val="en-GB"/>
        </w:rPr>
        <w:fldChar w:fldCharType="end"/>
      </w:r>
      <w:r>
        <w:rPr>
          <w:rFonts w:ascii="Times New Roman" w:hAnsi="Times New Roman"/>
          <w:sz w:val="24"/>
          <w:szCs w:val="24"/>
          <w:lang w:val="en-GB"/>
        </w:rPr>
        <w:t>;</w:t>
      </w:r>
    </w:p>
    <w:p w14:paraId="0E4F3B38" w14:textId="77777777" w:rsidR="00E72CA9" w:rsidRDefault="00D516E3">
      <w:pPr>
        <w:pStyle w:val="a7"/>
        <w:numPr>
          <w:ilvl w:val="0"/>
          <w:numId w:val="11"/>
        </w:numPr>
        <w:tabs>
          <w:tab w:val="left" w:pos="426"/>
          <w:tab w:val="left" w:pos="720"/>
          <w:tab w:val="left" w:pos="852"/>
        </w:tabs>
        <w:ind w:left="567" w:hanging="567"/>
        <w:jc w:val="both"/>
        <w:rPr>
          <w:rFonts w:ascii="Times New Roman" w:hAnsi="Times New Roman"/>
          <w:sz w:val="24"/>
          <w:szCs w:val="24"/>
          <w:lang w:val="en-GB"/>
        </w:rPr>
      </w:pPr>
      <w:r>
        <w:rPr>
          <w:rFonts w:ascii="Times New Roman" w:hAnsi="Times New Roman"/>
          <w:sz w:val="24"/>
          <w:szCs w:val="24"/>
          <w:lang w:val="en-GB"/>
        </w:rPr>
        <w:t>corresponding model of the major blood vessels;</w:t>
      </w:r>
    </w:p>
    <w:p w14:paraId="109F7909" w14:textId="77777777" w:rsidR="00E72CA9" w:rsidRDefault="00D516E3">
      <w:pPr>
        <w:pStyle w:val="Annalstext"/>
        <w:numPr>
          <w:ilvl w:val="0"/>
          <w:numId w:val="13"/>
        </w:numPr>
        <w:tabs>
          <w:tab w:val="clear" w:pos="851"/>
          <w:tab w:val="left" w:pos="709"/>
        </w:tabs>
        <w:ind w:left="426" w:hanging="426"/>
      </w:pPr>
      <w:r>
        <w:t>separation of subcutaneous fat and skeletal muscle from what was formerly residual soft tissues (RST); and</w:t>
      </w:r>
    </w:p>
    <w:p w14:paraId="50F30FC2" w14:textId="77777777" w:rsidR="00E72CA9" w:rsidRDefault="00D516E3">
      <w:pPr>
        <w:pStyle w:val="a7"/>
        <w:numPr>
          <w:ilvl w:val="0"/>
          <w:numId w:val="11"/>
        </w:numPr>
        <w:tabs>
          <w:tab w:val="left" w:pos="426"/>
          <w:tab w:val="left" w:pos="720"/>
          <w:tab w:val="left" w:pos="852"/>
        </w:tabs>
        <w:spacing w:after="240"/>
        <w:ind w:left="567" w:hanging="567"/>
        <w:jc w:val="both"/>
        <w:rPr>
          <w:rFonts w:ascii="Times New Roman" w:hAnsi="Times New Roman"/>
          <w:sz w:val="24"/>
          <w:szCs w:val="24"/>
          <w:lang w:val="en-GB"/>
        </w:rPr>
      </w:pPr>
      <w:r>
        <w:rPr>
          <w:rFonts w:ascii="Times New Roman" w:hAnsi="Times New Roman"/>
          <w:sz w:val="24"/>
          <w:szCs w:val="24"/>
          <w:lang w:val="en-GB"/>
        </w:rPr>
        <w:t xml:space="preserve">inclusion of lymph nodes – see Lee et al. </w:t>
      </w:r>
      <w:r>
        <w:rPr>
          <w:szCs w:val="24"/>
          <w:lang w:val="en-GB"/>
        </w:rPr>
        <w:fldChar w:fldCharType="begin"/>
      </w:r>
      <w:r>
        <w:rPr>
          <w:szCs w:val="24"/>
          <w:lang w:val="en-GB"/>
        </w:rPr>
        <w:instrText xml:space="preserve"> ADDIN EN.CITE &lt;EndNote&gt;&lt;Cite ExcludeAuth="1"&gt;&lt;Author&gt;Lee&lt;/Author&gt;&lt;Year&gt;2013&lt;/Year&gt;&lt;RecNum&gt;5208&lt;/RecNum&gt;&lt;DisplayText&gt;(2013)&lt;/DisplayText&gt;&lt;record&gt;&lt;rec-number&gt;5208&lt;/rec-number&gt;&lt;foreign-keys&gt;&lt;key app="EN" db-id="tewdatv2kswps0ep9wgxe0tjvatvprte2wrd" timestamp="1681399876"&gt;5208&lt;/key&gt;&lt;/foreign-keys&gt;&lt;ref-type name="Journal Article"&gt;17&lt;/ref-type&gt;&lt;contributors&gt;&lt;authors&gt;&lt;author&gt;Lee, C.&lt;/author&gt;&lt;author&gt;Lamart, S.&lt;/author&gt;&lt;author&gt;Moroz, B.E&lt;/author&gt;&lt;/authors&gt;&lt;/contributors&gt;&lt;titles&gt;&lt;title&gt; Computational lymphatic node models in pediatric and adult hybrid phantoms for radiation dosimetry&lt;/title&gt;&lt;secondary-title&gt;Physics in Medicine and Biology&lt;/secondary-title&gt;&lt;/titles&gt;&lt;periodical&gt;&lt;full-title&gt;Phys Med Biol&lt;/full-title&gt;&lt;abbr-1&gt;Physics in medicine and biology&lt;/abbr-1&gt;&lt;/periodical&gt;&lt;pages&gt;N59-N82&lt;/pages&gt;&lt;volume&gt;58&lt;/volume&gt;&lt;number&gt;5&lt;/number&gt;&lt;dates&gt;&lt;year&gt;2013&lt;/year&gt;&lt;/dates&gt;&lt;urls&gt;&lt;/urls&gt;&lt;electronic-resource-num&gt;10.1088/0031-9155/58/5/N59&lt;/electronic-resource-num&gt;&lt;/record&gt;&lt;/Cite&gt;&lt;/EndNote&gt;</w:instrText>
      </w:r>
      <w:r>
        <w:rPr>
          <w:szCs w:val="24"/>
          <w:lang w:val="en-GB"/>
        </w:rPr>
        <w:fldChar w:fldCharType="separate"/>
      </w:r>
      <w:r>
        <w:rPr>
          <w:rFonts w:ascii="Times New Roman" w:hAnsi="Times New Roman"/>
          <w:noProof/>
          <w:sz w:val="24"/>
          <w:szCs w:val="24"/>
          <w:lang w:val="en-GB"/>
        </w:rPr>
        <w:t>(2013)</w:t>
      </w:r>
      <w:r>
        <w:rPr>
          <w:szCs w:val="24"/>
          <w:lang w:val="en-GB"/>
        </w:rPr>
        <w:fldChar w:fldCharType="end"/>
      </w:r>
      <w:r>
        <w:rPr>
          <w:szCs w:val="24"/>
          <w:lang w:val="en-GB"/>
        </w:rPr>
        <w:t>.</w:t>
      </w:r>
    </w:p>
    <w:p w14:paraId="17B055E1" w14:textId="77777777" w:rsidR="00E72CA9" w:rsidRDefault="00D516E3">
      <w:pPr>
        <w:pStyle w:val="Annalstext"/>
        <w:numPr>
          <w:ilvl w:val="0"/>
          <w:numId w:val="1"/>
        </w:numPr>
        <w:ind w:left="0"/>
      </w:pPr>
      <w:r>
        <w:t xml:space="preserve">The series of ICRP paediatric reference phantoms are in voxel format and fully conform to the framework established in </w:t>
      </w:r>
      <w:r>
        <w:rPr>
          <w:i/>
        </w:rPr>
        <w:t>Publication 110</w:t>
      </w:r>
      <w:r>
        <w:t xml:space="preserve"> </w:t>
      </w:r>
      <w:r>
        <w:fldChar w:fldCharType="begin"/>
      </w:r>
      <w:r>
        <w:instrText xml:space="preserve"> ADDIN EN.CITE &lt;EndNote&gt;&lt;Cite&gt;&lt;Author&gt;ICRP&lt;/Author&gt;&lt;Year&gt;2009&lt;/Year&gt;&lt;RecNum&gt;3450&lt;/RecNum&gt;&lt;DisplayText&gt;(ICRP, 2009a)&lt;/DisplayText&gt;&lt;record&gt;&lt;rec-number&gt;3450&lt;/rec-number&gt;&lt;foreign-keys&gt;&lt;key app="EN" db-id="tewdatv2kswps0ep9wgxe0tjvatvprte2wrd" timestamp="1681399866"&gt;3450&lt;/key&gt;&lt;/foreign-keys&gt;&lt;ref-type name="Report"&gt;27&lt;/ref-type&gt;&lt;contributors&gt;&lt;authors&gt;&lt;author&gt;ICRP,&lt;/author&gt;&lt;/authors&gt;&lt;secondary-authors&gt;&lt;author&gt;Elsevier&lt;/author&gt;&lt;/secondary-authors&gt;&lt;/contributors&gt;&lt;titles&gt;&lt;title&gt;Adult reference computational phantoms&lt;/title&gt;&lt;secondary-title&gt;ICRP Publication 110&lt;/secondary-title&gt;&lt;/titles&gt;&lt;dates&gt;&lt;year&gt;2009&lt;/year&gt;&lt;/dates&gt;&lt;pub-location&gt;Oxford, UK&lt;/pub-location&gt;&lt;publisher&gt;International Commission on Radiological Protection&lt;/publisher&gt;&lt;orig-pub&gt;Ann. ICRP 39(2)&lt;/orig-pub&gt;&lt;isbn&gt;ICRP Publication 110&lt;/isbn&gt;&lt;work-type&gt;ICRP Publication&lt;/work-type&gt;&lt;urls&gt;&lt;/urls&gt;&lt;/record&gt;&lt;/Cite&gt;&lt;/EndNote&gt;</w:instrText>
      </w:r>
      <w:r>
        <w:fldChar w:fldCharType="separate"/>
      </w:r>
      <w:r>
        <w:rPr>
          <w:noProof/>
        </w:rPr>
        <w:t>(ICRP, 2009a)</w:t>
      </w:r>
      <w:r>
        <w:fldChar w:fldCharType="end"/>
      </w:r>
      <w:r>
        <w:t xml:space="preserve">. All organs and tissue structures modelled in the </w:t>
      </w:r>
      <w:r>
        <w:rPr>
          <w:iCs/>
        </w:rPr>
        <w:t>ICRP</w:t>
      </w:r>
      <w:r>
        <w:rPr>
          <w:i/>
        </w:rPr>
        <w:t xml:space="preserve"> Publication 110</w:t>
      </w:r>
      <w:r>
        <w:t xml:space="preserve"> reference adult male and female phantoms </w:t>
      </w:r>
      <w:r>
        <w:lastRenderedPageBreak/>
        <w:t xml:space="preserve">are included in the series of ICRP paediatric reference phantoms with consistent identification </w:t>
      </w:r>
      <w:r>
        <w:rPr>
          <w:rFonts w:hint="eastAsia"/>
          <w:lang w:eastAsia="ja-JP"/>
        </w:rPr>
        <w:t>(</w:t>
      </w:r>
      <w:r>
        <w:t xml:space="preserve">ID) numbers (see Annex A of </w:t>
      </w:r>
      <w:r>
        <w:rPr>
          <w:i/>
        </w:rPr>
        <w:t>Publication 110</w:t>
      </w:r>
      <w:r>
        <w:t>). Representative images of the ICRP reference paediatric series are given in Fig. 2.2.</w:t>
      </w:r>
    </w:p>
    <w:p w14:paraId="62DB4864" w14:textId="77777777" w:rsidR="00E72CA9" w:rsidRDefault="00E72CA9">
      <w:pPr>
        <w:ind w:firstLineChars="50" w:firstLine="120"/>
        <w:jc w:val="both"/>
        <w:rPr>
          <w:b/>
        </w:rPr>
      </w:pPr>
    </w:p>
    <w:p w14:paraId="11751240" w14:textId="77777777" w:rsidR="00E72CA9" w:rsidRDefault="00E72CA9">
      <w:pPr>
        <w:ind w:firstLineChars="50" w:firstLine="120"/>
        <w:jc w:val="both"/>
        <w:rPr>
          <w:b/>
        </w:rPr>
      </w:pPr>
    </w:p>
    <w:p w14:paraId="5349E6A2" w14:textId="77777777" w:rsidR="00E72CA9" w:rsidRDefault="00D516E3">
      <w:pPr>
        <w:pStyle w:val="Annalstext"/>
        <w:tabs>
          <w:tab w:val="clear" w:pos="502"/>
        </w:tabs>
        <w:ind w:left="0" w:firstLineChars="50" w:firstLine="120"/>
        <w:jc w:val="center"/>
        <w:rPr>
          <w:b/>
        </w:rPr>
      </w:pPr>
      <w:r>
        <w:rPr>
          <w:noProof/>
          <w:lang w:eastAsia="en-GB"/>
        </w:rPr>
        <w:drawing>
          <wp:inline distT="0" distB="0" distL="0" distR="0" wp14:anchorId="0C2D34E6" wp14:editId="3D531E51">
            <wp:extent cx="5731510" cy="3759660"/>
            <wp:effectExtent l="0" t="0" r="254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731510" cy="3759660"/>
                    </a:xfrm>
                    <a:prstGeom prst="rect">
                      <a:avLst/>
                    </a:prstGeom>
                    <a:noFill/>
                    <a:ln>
                      <a:noFill/>
                    </a:ln>
                  </pic:spPr>
                </pic:pic>
              </a:graphicData>
            </a:graphic>
          </wp:inline>
        </w:drawing>
      </w:r>
    </w:p>
    <w:p w14:paraId="5521B655" w14:textId="77777777" w:rsidR="00E72CA9" w:rsidRDefault="00D516E3">
      <w:pPr>
        <w:pStyle w:val="Annalstext"/>
        <w:tabs>
          <w:tab w:val="clear" w:pos="502"/>
          <w:tab w:val="left" w:pos="540"/>
          <w:tab w:val="left" w:pos="720"/>
        </w:tabs>
        <w:ind w:left="0" w:firstLine="0"/>
        <w:rPr>
          <w:sz w:val="22"/>
          <w:szCs w:val="22"/>
        </w:rPr>
      </w:pPr>
      <w:r>
        <w:rPr>
          <w:sz w:val="22"/>
          <w:szCs w:val="22"/>
        </w:rPr>
        <w:t>Fig. 2.</w:t>
      </w:r>
      <w:r>
        <w:rPr>
          <w:noProof/>
          <w:sz w:val="22"/>
          <w:szCs w:val="22"/>
        </w:rPr>
        <w:fldChar w:fldCharType="begin"/>
      </w:r>
      <w:r>
        <w:rPr>
          <w:noProof/>
          <w:sz w:val="22"/>
          <w:szCs w:val="22"/>
        </w:rPr>
        <w:instrText xml:space="preserve"> SEQ Fig._4. \* ARABIC </w:instrText>
      </w:r>
      <w:r>
        <w:rPr>
          <w:noProof/>
          <w:sz w:val="22"/>
          <w:szCs w:val="22"/>
        </w:rPr>
        <w:fldChar w:fldCharType="separate"/>
      </w:r>
      <w:r>
        <w:rPr>
          <w:noProof/>
          <w:sz w:val="22"/>
          <w:szCs w:val="22"/>
        </w:rPr>
        <w:t>2</w:t>
      </w:r>
      <w:r>
        <w:rPr>
          <w:noProof/>
          <w:sz w:val="22"/>
          <w:szCs w:val="22"/>
        </w:rPr>
        <w:fldChar w:fldCharType="end"/>
      </w:r>
      <w:r>
        <w:rPr>
          <w:noProof/>
          <w:sz w:val="22"/>
          <w:szCs w:val="22"/>
        </w:rPr>
        <w:t>.</w:t>
      </w:r>
      <w:r>
        <w:rPr>
          <w:sz w:val="22"/>
          <w:szCs w:val="22"/>
        </w:rPr>
        <w:t xml:space="preserve"> Series of ICRP paediatric reference phantoms. The male and female newborn, 1-, 5-, and 10-year-old phantoms are anatomically identical, except for their gonads and urinary bladder </w:t>
      </w:r>
      <w:r>
        <w:rPr>
          <w:sz w:val="22"/>
          <w:szCs w:val="22"/>
        </w:rPr>
        <w:fldChar w:fldCharType="begin"/>
      </w:r>
      <w:r>
        <w:rPr>
          <w:sz w:val="22"/>
          <w:szCs w:val="22"/>
        </w:rPr>
        <w:instrText xml:space="preserve"> ADDIN EN.CITE &lt;EndNote&gt;&lt;Cite&gt;&lt;Author&gt;ICRP&lt;/Author&gt;&lt;Year&gt;2020&lt;/Year&gt;&lt;RecNum&gt;11821&lt;/RecNum&gt;&lt;DisplayText&gt;(ICRP, 2020a)&lt;/DisplayText&gt;&lt;record&gt;&lt;rec-number&gt;11821&lt;/rec-number&gt;&lt;foreign-keys&gt;&lt;key app="EN" db-id="rss5s0wzrpx9pwe5a0h5a9wkx9sf2zexde9d" timestamp="1612882712"&gt;11821&lt;/key&gt;&lt;/foreign-keys&gt;&lt;ref-type name="Journal Article"&gt;17&lt;/ref-type&gt;&lt;contributors&gt;&lt;authors&gt;&lt;author&gt;ICRP,&lt;/author&gt;&lt;/authors&gt;&lt;secondary-authors&gt;&lt;author&gt;Sage&lt;/author&gt;&lt;/secondary-authors&gt;&lt;/contributors&gt;&lt;titles&gt;&lt;title&gt;Paediatric Reference Computational Phantoms. ICRP Publication 143&lt;/title&gt;&lt;secondary-title&gt;Annals of the ICRP&lt;/secondary-title&gt;&lt;/titles&gt;&lt;periodical&gt;&lt;full-title&gt;Annals of the ICRP&lt;/full-title&gt;&lt;abbr-1&gt;Ann. ICRP&lt;/abbr-1&gt;&lt;abbr-2&gt;Ann ICRP&lt;/abbr-2&gt;&lt;/periodical&gt;&lt;volume&gt;49&lt;/volume&gt;&lt;number&gt;1&lt;/number&gt;&lt;dates&gt;&lt;year&gt;2020&lt;/year&gt;&lt;/dates&gt;&lt;publisher&gt;International Commission of Radiological Protection&lt;/publisher&gt;&lt;orig-pub&gt;Annals ICRP 49(1)&lt;/orig-pub&gt;&lt;isbn&gt;143&lt;/isbn&gt;&lt;work-type&gt;ICRP Publication&lt;/work-type&gt;&lt;urls&gt;&lt;/urls&gt;&lt;/record&gt;&lt;/Cite&gt;&lt;/EndNote&gt;</w:instrText>
      </w:r>
      <w:r>
        <w:rPr>
          <w:sz w:val="22"/>
          <w:szCs w:val="22"/>
        </w:rPr>
        <w:fldChar w:fldCharType="separate"/>
      </w:r>
      <w:r>
        <w:rPr>
          <w:noProof/>
          <w:sz w:val="22"/>
          <w:szCs w:val="22"/>
        </w:rPr>
        <w:t>(ICRP, 2020a)</w:t>
      </w:r>
      <w:r>
        <w:rPr>
          <w:sz w:val="22"/>
          <w:szCs w:val="22"/>
        </w:rPr>
        <w:fldChar w:fldCharType="end"/>
      </w:r>
      <w:r>
        <w:rPr>
          <w:sz w:val="22"/>
          <w:szCs w:val="22"/>
        </w:rPr>
        <w:t>.</w:t>
      </w:r>
    </w:p>
    <w:p w14:paraId="095CC0C9" w14:textId="77777777" w:rsidR="00E72CA9" w:rsidRDefault="00E72CA9">
      <w:pPr>
        <w:pStyle w:val="Annalstext"/>
        <w:tabs>
          <w:tab w:val="clear" w:pos="502"/>
          <w:tab w:val="left" w:pos="540"/>
          <w:tab w:val="left" w:pos="720"/>
        </w:tabs>
        <w:ind w:left="0" w:firstLineChars="50" w:firstLine="120"/>
        <w:rPr>
          <w:b/>
        </w:rPr>
      </w:pPr>
    </w:p>
    <w:p w14:paraId="465C93B2" w14:textId="77777777" w:rsidR="00E72CA9" w:rsidRDefault="00D516E3">
      <w:pPr>
        <w:pStyle w:val="Annalstext"/>
        <w:numPr>
          <w:ilvl w:val="0"/>
          <w:numId w:val="1"/>
        </w:numPr>
        <w:ind w:left="0"/>
      </w:pPr>
      <w:r>
        <w:t xml:space="preserve">While the ICRP paediatric reference phantoms are identical in format to the </w:t>
      </w:r>
      <w:r>
        <w:rPr>
          <w:iCs/>
        </w:rPr>
        <w:t>ICRP</w:t>
      </w:r>
      <w:r>
        <w:rPr>
          <w:i/>
        </w:rPr>
        <w:t xml:space="preserve"> Publication 110</w:t>
      </w:r>
      <w:r>
        <w:t xml:space="preserve"> </w:t>
      </w:r>
      <w:r>
        <w:fldChar w:fldCharType="begin"/>
      </w:r>
      <w:r>
        <w:instrText xml:space="preserve"> ADDIN EN.CITE &lt;EndNote&gt;&lt;Cite&gt;&lt;Author&gt;ICRP&lt;/Author&gt;&lt;Year&gt;2009&lt;/Year&gt;&lt;RecNum&gt;3450&lt;/RecNum&gt;&lt;DisplayText&gt;(ICRP, 2009a)&lt;/DisplayText&gt;&lt;record&gt;&lt;rec-number&gt;3450&lt;/rec-number&gt;&lt;foreign-keys&gt;&lt;key app="EN" db-id="tewdatv2kswps0ep9wgxe0tjvatvprte2wrd" timestamp="1681399866"&gt;3450&lt;/key&gt;&lt;/foreign-keys&gt;&lt;ref-type name="Report"&gt;27&lt;/ref-type&gt;&lt;contributors&gt;&lt;authors&gt;&lt;author&gt;ICRP,&lt;/author&gt;&lt;/authors&gt;&lt;secondary-authors&gt;&lt;author&gt;Elsevier&lt;/author&gt;&lt;/secondary-authors&gt;&lt;/contributors&gt;&lt;titles&gt;&lt;title&gt;Adult reference computational phantoms&lt;/title&gt;&lt;secondary-title&gt;ICRP Publication 110&lt;/secondary-title&gt;&lt;/titles&gt;&lt;dates&gt;&lt;year&gt;2009&lt;/year&gt;&lt;/dates&gt;&lt;pub-location&gt;Oxford, UK&lt;/pub-location&gt;&lt;publisher&gt;International Commission on Radiological Protection&lt;/publisher&gt;&lt;orig-pub&gt;Ann. ICRP 39(2)&lt;/orig-pub&gt;&lt;isbn&gt;ICRP Publication 110&lt;/isbn&gt;&lt;work-type&gt;ICRP Publication&lt;/work-type&gt;&lt;urls&gt;&lt;/urls&gt;&lt;/record&gt;&lt;/Cite&gt;&lt;/EndNote&gt;</w:instrText>
      </w:r>
      <w:r>
        <w:fldChar w:fldCharType="separate"/>
      </w:r>
      <w:r>
        <w:rPr>
          <w:noProof/>
        </w:rPr>
        <w:t>(ICRP, 2009a)</w:t>
      </w:r>
      <w:r>
        <w:fldChar w:fldCharType="end"/>
      </w:r>
      <w:r>
        <w:t xml:space="preserve"> adult reference phantoms regarding the ID numbers of the various source and target organs, one important difference is the voxel resolution. One of the main advantages of hybrid phantom technology is that in the conversion of the polygon mesh/NURBS format of the phantom to the voxel format of that same anatomy one can select the voxel resolution. Table 2.2 tabulates the voxel resolutions, array size, and total matrix size finally adopted for the ICRP paediatric reference phantoms. The phantom dimensions ensure continuous conformance with the 1% matching of reference masses as well as conformance to reference total skin thickness as given by data in </w:t>
      </w:r>
      <w:r>
        <w:rPr>
          <w:i/>
          <w:iCs/>
        </w:rPr>
        <w:t>Publication 89</w:t>
      </w:r>
      <w:r>
        <w:t xml:space="preserve">. It is noted that for the newborn phantom, the voxels are cubic (i.e. same dimension in x-, y-, and z-directions), while rectangular prisms with larger z-dimension than </w:t>
      </w:r>
      <w:proofErr w:type="spellStart"/>
      <w:proofErr w:type="gramStart"/>
      <w:r>
        <w:t>x,y</w:t>
      </w:r>
      <w:proofErr w:type="spellEnd"/>
      <w:proofErr w:type="gramEnd"/>
      <w:r>
        <w:t xml:space="preserve">-dimensions were adopted for the older phantoms so as to keep the matrix size constant at approximately 55 million voxels in total. In contrast, the </w:t>
      </w:r>
      <w:r>
        <w:rPr>
          <w:iCs/>
        </w:rPr>
        <w:t>ICRP</w:t>
      </w:r>
      <w:r>
        <w:rPr>
          <w:i/>
        </w:rPr>
        <w:t xml:space="preserve"> Publication 110</w:t>
      </w:r>
      <w:r>
        <w:t xml:space="preserve"> adult male and female phantoms have total matrix sizes of 1.9 and 3.9 million voxels, respectively. The need for higher resolution is to preserve organ anatomy in the smaller anatomy of the paediatric reference individuals. </w:t>
      </w:r>
    </w:p>
    <w:p w14:paraId="689AE1BD" w14:textId="77777777" w:rsidR="00E72CA9" w:rsidRDefault="00E72CA9">
      <w:pPr>
        <w:pStyle w:val="af0"/>
        <w:tabs>
          <w:tab w:val="left" w:pos="540"/>
          <w:tab w:val="left" w:pos="720"/>
          <w:tab w:val="left" w:pos="852"/>
        </w:tabs>
        <w:adjustRightInd/>
        <w:spacing w:before="0" w:after="0" w:line="240" w:lineRule="auto"/>
        <w:ind w:firstLineChars="50" w:firstLine="110"/>
        <w:jc w:val="both"/>
        <w:rPr>
          <w:b w:val="0"/>
          <w:sz w:val="22"/>
          <w:szCs w:val="22"/>
        </w:rPr>
      </w:pPr>
    </w:p>
    <w:p w14:paraId="18D2F3D8" w14:textId="77777777" w:rsidR="00E72CA9" w:rsidRDefault="00E72CA9"/>
    <w:p w14:paraId="6FE15353" w14:textId="77777777" w:rsidR="00E72CA9" w:rsidRDefault="00E72CA9"/>
    <w:p w14:paraId="32467749" w14:textId="77777777" w:rsidR="00E72CA9" w:rsidRDefault="00E72CA9"/>
    <w:p w14:paraId="545B0728" w14:textId="77777777" w:rsidR="00E72CA9" w:rsidRDefault="00E72CA9"/>
    <w:p w14:paraId="432E68FD" w14:textId="77777777" w:rsidR="00E72CA9" w:rsidRDefault="00D516E3">
      <w:pPr>
        <w:pStyle w:val="af0"/>
        <w:tabs>
          <w:tab w:val="left" w:pos="540"/>
          <w:tab w:val="left" w:pos="720"/>
          <w:tab w:val="left" w:pos="852"/>
        </w:tabs>
        <w:adjustRightInd/>
        <w:spacing w:before="0" w:after="0" w:line="240" w:lineRule="auto"/>
        <w:jc w:val="both"/>
        <w:rPr>
          <w:b w:val="0"/>
          <w:szCs w:val="24"/>
        </w:rPr>
      </w:pPr>
      <w:r>
        <w:rPr>
          <w:b w:val="0"/>
          <w:szCs w:val="24"/>
        </w:rPr>
        <w:lastRenderedPageBreak/>
        <w:t>Table 2.2. Voxel resolution, voxel number, and total matrix size of the ICRP paediatric reference phantom series.</w:t>
      </w:r>
      <w:r>
        <w:rPr>
          <w:szCs w:val="24"/>
        </w:rPr>
        <w:t xml:space="preserve"> </w:t>
      </w:r>
    </w:p>
    <w:tbl>
      <w:tblPr>
        <w:tblW w:w="9072" w:type="dxa"/>
        <w:jc w:val="center"/>
        <w:tblLayout w:type="fixed"/>
        <w:tblLook w:val="04A0" w:firstRow="1" w:lastRow="0" w:firstColumn="1" w:lastColumn="0" w:noHBand="0" w:noVBand="1"/>
      </w:tblPr>
      <w:tblGrid>
        <w:gridCol w:w="2635"/>
        <w:gridCol w:w="878"/>
        <w:gridCol w:w="878"/>
        <w:gridCol w:w="878"/>
        <w:gridCol w:w="878"/>
        <w:gridCol w:w="878"/>
        <w:gridCol w:w="878"/>
        <w:gridCol w:w="1169"/>
      </w:tblGrid>
      <w:tr w:rsidR="00E72CA9" w14:paraId="11804E6F" w14:textId="77777777">
        <w:trPr>
          <w:trHeight w:val="300"/>
          <w:jc w:val="center"/>
        </w:trPr>
        <w:tc>
          <w:tcPr>
            <w:tcW w:w="2635" w:type="dxa"/>
            <w:vMerge w:val="restart"/>
            <w:tcBorders>
              <w:top w:val="single" w:sz="8" w:space="0" w:color="auto"/>
              <w:left w:val="nil"/>
              <w:bottom w:val="single" w:sz="8" w:space="0" w:color="000000"/>
              <w:right w:val="nil"/>
            </w:tcBorders>
            <w:shd w:val="clear" w:color="auto" w:fill="auto"/>
            <w:noWrap/>
            <w:vAlign w:val="bottom"/>
            <w:hideMark/>
          </w:tcPr>
          <w:p w14:paraId="667E9B7B" w14:textId="77777777" w:rsidR="00E72CA9" w:rsidRDefault="00D516E3">
            <w:pPr>
              <w:ind w:firstLineChars="50" w:firstLine="110"/>
              <w:rPr>
                <w:color w:val="000000"/>
                <w:sz w:val="22"/>
              </w:rPr>
            </w:pPr>
            <w:r>
              <w:rPr>
                <w:color w:val="000000"/>
                <w:sz w:val="22"/>
              </w:rPr>
              <w:t>Phantom</w:t>
            </w:r>
          </w:p>
        </w:tc>
        <w:tc>
          <w:tcPr>
            <w:tcW w:w="2634" w:type="dxa"/>
            <w:gridSpan w:val="3"/>
            <w:tcBorders>
              <w:top w:val="single" w:sz="8" w:space="0" w:color="auto"/>
              <w:left w:val="nil"/>
              <w:bottom w:val="single" w:sz="4" w:space="0" w:color="auto"/>
              <w:right w:val="nil"/>
            </w:tcBorders>
            <w:shd w:val="clear" w:color="auto" w:fill="auto"/>
            <w:noWrap/>
            <w:vAlign w:val="bottom"/>
            <w:hideMark/>
          </w:tcPr>
          <w:p w14:paraId="221FBB44" w14:textId="77777777" w:rsidR="00E72CA9" w:rsidRDefault="00D516E3">
            <w:pPr>
              <w:ind w:firstLineChars="50" w:firstLine="110"/>
              <w:jc w:val="center"/>
              <w:rPr>
                <w:color w:val="000000"/>
                <w:sz w:val="22"/>
              </w:rPr>
            </w:pPr>
            <w:r>
              <w:rPr>
                <w:color w:val="000000"/>
                <w:sz w:val="22"/>
              </w:rPr>
              <w:t>Resolution (mm)</w:t>
            </w:r>
          </w:p>
        </w:tc>
        <w:tc>
          <w:tcPr>
            <w:tcW w:w="2634" w:type="dxa"/>
            <w:gridSpan w:val="3"/>
            <w:tcBorders>
              <w:top w:val="single" w:sz="8" w:space="0" w:color="auto"/>
              <w:left w:val="nil"/>
              <w:bottom w:val="single" w:sz="4" w:space="0" w:color="auto"/>
              <w:right w:val="nil"/>
            </w:tcBorders>
            <w:shd w:val="clear" w:color="auto" w:fill="auto"/>
            <w:noWrap/>
            <w:vAlign w:val="bottom"/>
            <w:hideMark/>
          </w:tcPr>
          <w:p w14:paraId="365FE3AA" w14:textId="77777777" w:rsidR="00E72CA9" w:rsidRDefault="00D516E3">
            <w:pPr>
              <w:ind w:firstLineChars="50" w:firstLine="110"/>
              <w:jc w:val="center"/>
              <w:rPr>
                <w:color w:val="000000"/>
                <w:sz w:val="22"/>
              </w:rPr>
            </w:pPr>
            <w:r>
              <w:rPr>
                <w:color w:val="000000"/>
                <w:sz w:val="22"/>
              </w:rPr>
              <w:t>Array size</w:t>
            </w:r>
          </w:p>
        </w:tc>
        <w:tc>
          <w:tcPr>
            <w:tcW w:w="1169" w:type="dxa"/>
            <w:vMerge w:val="restart"/>
            <w:tcBorders>
              <w:top w:val="single" w:sz="8" w:space="0" w:color="auto"/>
              <w:left w:val="nil"/>
              <w:right w:val="nil"/>
            </w:tcBorders>
            <w:shd w:val="clear" w:color="auto" w:fill="auto"/>
            <w:noWrap/>
            <w:vAlign w:val="bottom"/>
            <w:hideMark/>
          </w:tcPr>
          <w:p w14:paraId="17ADC0EF" w14:textId="77777777" w:rsidR="00E72CA9" w:rsidRDefault="00D516E3">
            <w:pPr>
              <w:ind w:firstLineChars="50" w:firstLine="110"/>
              <w:rPr>
                <w:color w:val="000000"/>
                <w:sz w:val="22"/>
              </w:rPr>
            </w:pPr>
            <w:r>
              <w:rPr>
                <w:color w:val="000000"/>
                <w:sz w:val="22"/>
              </w:rPr>
              <w:t xml:space="preserve">Matrix </w:t>
            </w:r>
          </w:p>
          <w:p w14:paraId="7FCF51EF" w14:textId="77777777" w:rsidR="00E72CA9" w:rsidRDefault="00D516E3">
            <w:pPr>
              <w:ind w:firstLineChars="50" w:firstLine="110"/>
              <w:rPr>
                <w:color w:val="000000"/>
                <w:sz w:val="22"/>
              </w:rPr>
            </w:pPr>
            <w:r>
              <w:rPr>
                <w:color w:val="000000"/>
                <w:sz w:val="22"/>
              </w:rPr>
              <w:t>size</w:t>
            </w:r>
          </w:p>
          <w:p w14:paraId="4F87381B" w14:textId="77777777" w:rsidR="00E72CA9" w:rsidRDefault="00D516E3">
            <w:pPr>
              <w:ind w:firstLineChars="50" w:firstLine="110"/>
              <w:rPr>
                <w:color w:val="000000"/>
                <w:sz w:val="22"/>
              </w:rPr>
            </w:pPr>
            <w:r>
              <w:rPr>
                <w:color w:val="000000"/>
                <w:sz w:val="22"/>
              </w:rPr>
              <w:t>(million)</w:t>
            </w:r>
          </w:p>
        </w:tc>
      </w:tr>
      <w:tr w:rsidR="00E72CA9" w14:paraId="3254687B" w14:textId="77777777">
        <w:trPr>
          <w:trHeight w:val="315"/>
          <w:jc w:val="center"/>
        </w:trPr>
        <w:tc>
          <w:tcPr>
            <w:tcW w:w="2635" w:type="dxa"/>
            <w:vMerge/>
            <w:tcBorders>
              <w:top w:val="single" w:sz="8" w:space="0" w:color="auto"/>
              <w:left w:val="nil"/>
              <w:bottom w:val="single" w:sz="8" w:space="0" w:color="000000"/>
              <w:right w:val="nil"/>
            </w:tcBorders>
            <w:vAlign w:val="bottom"/>
            <w:hideMark/>
          </w:tcPr>
          <w:p w14:paraId="024DBE03" w14:textId="77777777" w:rsidR="00E72CA9" w:rsidRDefault="00E72CA9">
            <w:pPr>
              <w:ind w:firstLineChars="50" w:firstLine="110"/>
              <w:jc w:val="both"/>
              <w:rPr>
                <w:color w:val="000000"/>
                <w:sz w:val="22"/>
              </w:rPr>
            </w:pPr>
          </w:p>
        </w:tc>
        <w:tc>
          <w:tcPr>
            <w:tcW w:w="878" w:type="dxa"/>
            <w:tcBorders>
              <w:top w:val="nil"/>
              <w:left w:val="nil"/>
              <w:bottom w:val="single" w:sz="8" w:space="0" w:color="auto"/>
              <w:right w:val="nil"/>
            </w:tcBorders>
            <w:shd w:val="clear" w:color="auto" w:fill="auto"/>
            <w:noWrap/>
            <w:vAlign w:val="bottom"/>
            <w:hideMark/>
          </w:tcPr>
          <w:p w14:paraId="7B7F29B7" w14:textId="77777777" w:rsidR="00E72CA9" w:rsidRDefault="00D516E3">
            <w:pPr>
              <w:ind w:firstLineChars="50" w:firstLine="110"/>
              <w:rPr>
                <w:color w:val="000000"/>
                <w:sz w:val="22"/>
              </w:rPr>
            </w:pPr>
            <w:r>
              <w:rPr>
                <w:color w:val="000000"/>
                <w:sz w:val="22"/>
              </w:rPr>
              <w:t>X</w:t>
            </w:r>
          </w:p>
        </w:tc>
        <w:tc>
          <w:tcPr>
            <w:tcW w:w="878" w:type="dxa"/>
            <w:tcBorders>
              <w:top w:val="nil"/>
              <w:left w:val="nil"/>
              <w:bottom w:val="single" w:sz="8" w:space="0" w:color="auto"/>
              <w:right w:val="nil"/>
            </w:tcBorders>
            <w:shd w:val="clear" w:color="auto" w:fill="auto"/>
            <w:noWrap/>
            <w:vAlign w:val="bottom"/>
            <w:hideMark/>
          </w:tcPr>
          <w:p w14:paraId="58704D43" w14:textId="77777777" w:rsidR="00E72CA9" w:rsidRDefault="00D516E3">
            <w:pPr>
              <w:ind w:firstLineChars="50" w:firstLine="110"/>
              <w:rPr>
                <w:color w:val="000000"/>
                <w:sz w:val="22"/>
              </w:rPr>
            </w:pPr>
            <w:r>
              <w:rPr>
                <w:color w:val="000000"/>
                <w:sz w:val="22"/>
              </w:rPr>
              <w:t>Y</w:t>
            </w:r>
          </w:p>
        </w:tc>
        <w:tc>
          <w:tcPr>
            <w:tcW w:w="878" w:type="dxa"/>
            <w:tcBorders>
              <w:top w:val="nil"/>
              <w:left w:val="nil"/>
              <w:bottom w:val="single" w:sz="8" w:space="0" w:color="auto"/>
              <w:right w:val="nil"/>
            </w:tcBorders>
            <w:shd w:val="clear" w:color="auto" w:fill="auto"/>
            <w:noWrap/>
            <w:vAlign w:val="bottom"/>
            <w:hideMark/>
          </w:tcPr>
          <w:p w14:paraId="6750F6F4" w14:textId="77777777" w:rsidR="00E72CA9" w:rsidRDefault="00D516E3">
            <w:pPr>
              <w:ind w:firstLineChars="50" w:firstLine="110"/>
              <w:rPr>
                <w:color w:val="000000"/>
                <w:sz w:val="22"/>
              </w:rPr>
            </w:pPr>
            <w:r>
              <w:rPr>
                <w:color w:val="000000"/>
                <w:sz w:val="22"/>
              </w:rPr>
              <w:t>Z</w:t>
            </w:r>
          </w:p>
        </w:tc>
        <w:tc>
          <w:tcPr>
            <w:tcW w:w="878" w:type="dxa"/>
            <w:tcBorders>
              <w:top w:val="nil"/>
              <w:left w:val="nil"/>
              <w:bottom w:val="single" w:sz="8" w:space="0" w:color="auto"/>
              <w:right w:val="nil"/>
            </w:tcBorders>
            <w:shd w:val="clear" w:color="auto" w:fill="auto"/>
            <w:noWrap/>
            <w:vAlign w:val="bottom"/>
            <w:hideMark/>
          </w:tcPr>
          <w:p w14:paraId="281ED2E5" w14:textId="77777777" w:rsidR="00E72CA9" w:rsidRDefault="00D516E3">
            <w:pPr>
              <w:ind w:firstLineChars="50" w:firstLine="110"/>
              <w:rPr>
                <w:color w:val="000000"/>
                <w:sz w:val="22"/>
              </w:rPr>
            </w:pPr>
            <w:r>
              <w:rPr>
                <w:color w:val="000000"/>
                <w:sz w:val="22"/>
              </w:rPr>
              <w:t>X</w:t>
            </w:r>
          </w:p>
        </w:tc>
        <w:tc>
          <w:tcPr>
            <w:tcW w:w="878" w:type="dxa"/>
            <w:tcBorders>
              <w:top w:val="nil"/>
              <w:left w:val="nil"/>
              <w:bottom w:val="single" w:sz="8" w:space="0" w:color="auto"/>
              <w:right w:val="nil"/>
            </w:tcBorders>
            <w:shd w:val="clear" w:color="auto" w:fill="auto"/>
            <w:noWrap/>
            <w:vAlign w:val="bottom"/>
            <w:hideMark/>
          </w:tcPr>
          <w:p w14:paraId="418D7661" w14:textId="77777777" w:rsidR="00E72CA9" w:rsidRDefault="00D516E3">
            <w:pPr>
              <w:ind w:firstLineChars="50" w:firstLine="110"/>
              <w:rPr>
                <w:color w:val="000000"/>
                <w:sz w:val="22"/>
              </w:rPr>
            </w:pPr>
            <w:r>
              <w:rPr>
                <w:color w:val="000000"/>
                <w:sz w:val="22"/>
              </w:rPr>
              <w:t>Y</w:t>
            </w:r>
          </w:p>
        </w:tc>
        <w:tc>
          <w:tcPr>
            <w:tcW w:w="878" w:type="dxa"/>
            <w:tcBorders>
              <w:top w:val="nil"/>
              <w:left w:val="nil"/>
              <w:bottom w:val="single" w:sz="8" w:space="0" w:color="auto"/>
              <w:right w:val="nil"/>
            </w:tcBorders>
            <w:shd w:val="clear" w:color="auto" w:fill="auto"/>
            <w:noWrap/>
            <w:vAlign w:val="bottom"/>
            <w:hideMark/>
          </w:tcPr>
          <w:p w14:paraId="6B03433F" w14:textId="77777777" w:rsidR="00E72CA9" w:rsidRDefault="00D516E3">
            <w:pPr>
              <w:ind w:firstLineChars="50" w:firstLine="110"/>
              <w:rPr>
                <w:color w:val="000000"/>
                <w:sz w:val="22"/>
              </w:rPr>
            </w:pPr>
            <w:r>
              <w:rPr>
                <w:color w:val="000000"/>
                <w:sz w:val="22"/>
              </w:rPr>
              <w:t>Z</w:t>
            </w:r>
          </w:p>
        </w:tc>
        <w:tc>
          <w:tcPr>
            <w:tcW w:w="1169" w:type="dxa"/>
            <w:vMerge/>
            <w:tcBorders>
              <w:left w:val="nil"/>
              <w:bottom w:val="single" w:sz="8" w:space="0" w:color="auto"/>
              <w:right w:val="nil"/>
            </w:tcBorders>
            <w:shd w:val="clear" w:color="auto" w:fill="auto"/>
            <w:noWrap/>
            <w:vAlign w:val="bottom"/>
            <w:hideMark/>
          </w:tcPr>
          <w:p w14:paraId="7737CA2F" w14:textId="77777777" w:rsidR="00E72CA9" w:rsidRDefault="00E72CA9">
            <w:pPr>
              <w:ind w:firstLineChars="50" w:firstLine="110"/>
              <w:rPr>
                <w:color w:val="000000"/>
                <w:sz w:val="22"/>
              </w:rPr>
            </w:pPr>
          </w:p>
        </w:tc>
      </w:tr>
      <w:tr w:rsidR="00E72CA9" w14:paraId="73667039" w14:textId="77777777">
        <w:trPr>
          <w:trHeight w:val="300"/>
          <w:jc w:val="center"/>
        </w:trPr>
        <w:tc>
          <w:tcPr>
            <w:tcW w:w="2635" w:type="dxa"/>
            <w:tcBorders>
              <w:top w:val="nil"/>
              <w:left w:val="nil"/>
              <w:bottom w:val="nil"/>
              <w:right w:val="nil"/>
            </w:tcBorders>
            <w:shd w:val="clear" w:color="auto" w:fill="auto"/>
            <w:noWrap/>
            <w:vAlign w:val="bottom"/>
            <w:hideMark/>
          </w:tcPr>
          <w:p w14:paraId="6B3916D0" w14:textId="77777777" w:rsidR="00E72CA9" w:rsidRDefault="00D516E3">
            <w:pPr>
              <w:ind w:firstLineChars="50" w:firstLine="110"/>
              <w:rPr>
                <w:color w:val="000000"/>
                <w:sz w:val="22"/>
              </w:rPr>
            </w:pPr>
            <w:r>
              <w:rPr>
                <w:color w:val="000000"/>
                <w:sz w:val="22"/>
              </w:rPr>
              <w:t>Newborn, Male, Female</w:t>
            </w:r>
          </w:p>
        </w:tc>
        <w:tc>
          <w:tcPr>
            <w:tcW w:w="878" w:type="dxa"/>
            <w:tcBorders>
              <w:top w:val="nil"/>
              <w:left w:val="nil"/>
              <w:bottom w:val="nil"/>
              <w:right w:val="nil"/>
            </w:tcBorders>
            <w:shd w:val="clear" w:color="auto" w:fill="auto"/>
            <w:noWrap/>
            <w:vAlign w:val="bottom"/>
            <w:hideMark/>
          </w:tcPr>
          <w:p w14:paraId="082D2B7E" w14:textId="77777777" w:rsidR="00E72CA9" w:rsidRDefault="00D516E3">
            <w:pPr>
              <w:ind w:firstLineChars="50" w:firstLine="110"/>
              <w:rPr>
                <w:color w:val="000000"/>
                <w:sz w:val="22"/>
              </w:rPr>
            </w:pPr>
            <w:r>
              <w:rPr>
                <w:color w:val="000000"/>
                <w:sz w:val="22"/>
              </w:rPr>
              <w:t>0.663</w:t>
            </w:r>
          </w:p>
        </w:tc>
        <w:tc>
          <w:tcPr>
            <w:tcW w:w="878" w:type="dxa"/>
            <w:tcBorders>
              <w:top w:val="nil"/>
              <w:left w:val="nil"/>
              <w:bottom w:val="nil"/>
              <w:right w:val="nil"/>
            </w:tcBorders>
            <w:shd w:val="clear" w:color="auto" w:fill="auto"/>
            <w:noWrap/>
            <w:vAlign w:val="bottom"/>
            <w:hideMark/>
          </w:tcPr>
          <w:p w14:paraId="47EA330D" w14:textId="77777777" w:rsidR="00E72CA9" w:rsidRDefault="00D516E3">
            <w:pPr>
              <w:ind w:firstLineChars="50" w:firstLine="110"/>
              <w:rPr>
                <w:color w:val="000000"/>
                <w:sz w:val="22"/>
              </w:rPr>
            </w:pPr>
            <w:r>
              <w:rPr>
                <w:color w:val="000000"/>
                <w:sz w:val="22"/>
              </w:rPr>
              <w:t>0.663</w:t>
            </w:r>
          </w:p>
        </w:tc>
        <w:tc>
          <w:tcPr>
            <w:tcW w:w="878" w:type="dxa"/>
            <w:tcBorders>
              <w:top w:val="nil"/>
              <w:left w:val="nil"/>
              <w:bottom w:val="nil"/>
              <w:right w:val="nil"/>
            </w:tcBorders>
            <w:shd w:val="clear" w:color="auto" w:fill="auto"/>
            <w:noWrap/>
            <w:vAlign w:val="bottom"/>
            <w:hideMark/>
          </w:tcPr>
          <w:p w14:paraId="7EB54EFD" w14:textId="77777777" w:rsidR="00E72CA9" w:rsidRDefault="00D516E3">
            <w:pPr>
              <w:ind w:firstLineChars="50" w:firstLine="110"/>
              <w:rPr>
                <w:color w:val="000000"/>
                <w:sz w:val="22"/>
              </w:rPr>
            </w:pPr>
            <w:r>
              <w:rPr>
                <w:color w:val="000000"/>
                <w:sz w:val="22"/>
              </w:rPr>
              <w:t>0.663</w:t>
            </w:r>
          </w:p>
        </w:tc>
        <w:tc>
          <w:tcPr>
            <w:tcW w:w="878" w:type="dxa"/>
            <w:tcBorders>
              <w:top w:val="nil"/>
              <w:left w:val="nil"/>
              <w:bottom w:val="nil"/>
              <w:right w:val="nil"/>
            </w:tcBorders>
            <w:shd w:val="clear" w:color="auto" w:fill="auto"/>
            <w:noWrap/>
            <w:vAlign w:val="bottom"/>
            <w:hideMark/>
          </w:tcPr>
          <w:p w14:paraId="0CA434E0" w14:textId="77777777" w:rsidR="00E72CA9" w:rsidRDefault="00D516E3">
            <w:pPr>
              <w:ind w:firstLineChars="50" w:firstLine="110"/>
              <w:rPr>
                <w:color w:val="000000"/>
                <w:sz w:val="22"/>
              </w:rPr>
            </w:pPr>
            <w:r>
              <w:rPr>
                <w:color w:val="000000"/>
                <w:sz w:val="22"/>
              </w:rPr>
              <w:t>350</w:t>
            </w:r>
          </w:p>
        </w:tc>
        <w:tc>
          <w:tcPr>
            <w:tcW w:w="878" w:type="dxa"/>
            <w:tcBorders>
              <w:top w:val="nil"/>
              <w:left w:val="nil"/>
              <w:bottom w:val="nil"/>
              <w:right w:val="nil"/>
            </w:tcBorders>
            <w:shd w:val="clear" w:color="auto" w:fill="auto"/>
            <w:noWrap/>
            <w:vAlign w:val="bottom"/>
            <w:hideMark/>
          </w:tcPr>
          <w:p w14:paraId="128D3DAF" w14:textId="77777777" w:rsidR="00E72CA9" w:rsidRDefault="00D516E3">
            <w:pPr>
              <w:ind w:firstLineChars="50" w:firstLine="110"/>
              <w:rPr>
                <w:color w:val="000000"/>
                <w:sz w:val="22"/>
              </w:rPr>
            </w:pPr>
            <w:r>
              <w:rPr>
                <w:color w:val="000000"/>
                <w:sz w:val="22"/>
              </w:rPr>
              <w:t>215</w:t>
            </w:r>
          </w:p>
        </w:tc>
        <w:tc>
          <w:tcPr>
            <w:tcW w:w="878" w:type="dxa"/>
            <w:tcBorders>
              <w:top w:val="nil"/>
              <w:left w:val="nil"/>
              <w:bottom w:val="nil"/>
              <w:right w:val="nil"/>
            </w:tcBorders>
            <w:shd w:val="clear" w:color="auto" w:fill="auto"/>
            <w:noWrap/>
            <w:vAlign w:val="bottom"/>
            <w:hideMark/>
          </w:tcPr>
          <w:p w14:paraId="4F8420EA" w14:textId="77777777" w:rsidR="00E72CA9" w:rsidRDefault="00D516E3">
            <w:pPr>
              <w:ind w:firstLineChars="50" w:firstLine="110"/>
              <w:rPr>
                <w:color w:val="000000"/>
                <w:sz w:val="22"/>
              </w:rPr>
            </w:pPr>
            <w:r>
              <w:rPr>
                <w:color w:val="000000"/>
                <w:sz w:val="22"/>
              </w:rPr>
              <w:t>720</w:t>
            </w:r>
          </w:p>
        </w:tc>
        <w:tc>
          <w:tcPr>
            <w:tcW w:w="1169" w:type="dxa"/>
            <w:tcBorders>
              <w:top w:val="nil"/>
              <w:left w:val="nil"/>
              <w:bottom w:val="nil"/>
              <w:right w:val="nil"/>
            </w:tcBorders>
            <w:shd w:val="clear" w:color="auto" w:fill="auto"/>
            <w:noWrap/>
            <w:vAlign w:val="bottom"/>
            <w:hideMark/>
          </w:tcPr>
          <w:p w14:paraId="1AEF8FA5" w14:textId="77777777" w:rsidR="00E72CA9" w:rsidRDefault="00D516E3">
            <w:pPr>
              <w:ind w:firstLineChars="50" w:firstLine="110"/>
              <w:rPr>
                <w:color w:val="000000"/>
                <w:sz w:val="22"/>
              </w:rPr>
            </w:pPr>
            <w:r>
              <w:rPr>
                <w:color w:val="000000"/>
                <w:sz w:val="22"/>
              </w:rPr>
              <w:t>54.2</w:t>
            </w:r>
          </w:p>
        </w:tc>
      </w:tr>
      <w:tr w:rsidR="00E72CA9" w14:paraId="716D2627" w14:textId="77777777">
        <w:trPr>
          <w:trHeight w:val="300"/>
          <w:jc w:val="center"/>
        </w:trPr>
        <w:tc>
          <w:tcPr>
            <w:tcW w:w="2635" w:type="dxa"/>
            <w:tcBorders>
              <w:top w:val="nil"/>
              <w:left w:val="nil"/>
              <w:bottom w:val="nil"/>
              <w:right w:val="nil"/>
            </w:tcBorders>
            <w:shd w:val="clear" w:color="auto" w:fill="auto"/>
            <w:noWrap/>
            <w:vAlign w:val="bottom"/>
            <w:hideMark/>
          </w:tcPr>
          <w:p w14:paraId="3BEC3F41" w14:textId="77777777" w:rsidR="00E72CA9" w:rsidRDefault="00D516E3">
            <w:pPr>
              <w:ind w:firstLineChars="50" w:firstLine="110"/>
              <w:jc w:val="both"/>
              <w:rPr>
                <w:color w:val="000000"/>
                <w:sz w:val="22"/>
              </w:rPr>
            </w:pPr>
            <w:r>
              <w:rPr>
                <w:color w:val="000000"/>
                <w:sz w:val="22"/>
              </w:rPr>
              <w:t>1-year-old Male, Female</w:t>
            </w:r>
          </w:p>
        </w:tc>
        <w:tc>
          <w:tcPr>
            <w:tcW w:w="878" w:type="dxa"/>
            <w:tcBorders>
              <w:top w:val="nil"/>
              <w:left w:val="nil"/>
              <w:bottom w:val="nil"/>
              <w:right w:val="nil"/>
            </w:tcBorders>
            <w:shd w:val="clear" w:color="auto" w:fill="auto"/>
            <w:noWrap/>
            <w:vAlign w:val="bottom"/>
            <w:hideMark/>
          </w:tcPr>
          <w:p w14:paraId="714386E3" w14:textId="77777777" w:rsidR="00E72CA9" w:rsidRDefault="00D516E3">
            <w:pPr>
              <w:ind w:firstLineChars="50" w:firstLine="110"/>
              <w:rPr>
                <w:color w:val="000000"/>
                <w:sz w:val="22"/>
              </w:rPr>
            </w:pPr>
            <w:r>
              <w:rPr>
                <w:color w:val="000000"/>
                <w:sz w:val="22"/>
              </w:rPr>
              <w:t>0.663</w:t>
            </w:r>
          </w:p>
        </w:tc>
        <w:tc>
          <w:tcPr>
            <w:tcW w:w="878" w:type="dxa"/>
            <w:tcBorders>
              <w:top w:val="nil"/>
              <w:left w:val="nil"/>
              <w:bottom w:val="nil"/>
              <w:right w:val="nil"/>
            </w:tcBorders>
            <w:shd w:val="clear" w:color="auto" w:fill="auto"/>
            <w:noWrap/>
            <w:vAlign w:val="bottom"/>
            <w:hideMark/>
          </w:tcPr>
          <w:p w14:paraId="469AB058" w14:textId="77777777" w:rsidR="00E72CA9" w:rsidRDefault="00D516E3">
            <w:pPr>
              <w:ind w:firstLineChars="50" w:firstLine="110"/>
              <w:rPr>
                <w:color w:val="000000"/>
                <w:sz w:val="22"/>
              </w:rPr>
            </w:pPr>
            <w:r>
              <w:rPr>
                <w:color w:val="000000"/>
                <w:sz w:val="22"/>
              </w:rPr>
              <w:t>0.663</w:t>
            </w:r>
          </w:p>
        </w:tc>
        <w:tc>
          <w:tcPr>
            <w:tcW w:w="878" w:type="dxa"/>
            <w:tcBorders>
              <w:top w:val="nil"/>
              <w:left w:val="nil"/>
              <w:bottom w:val="nil"/>
              <w:right w:val="nil"/>
            </w:tcBorders>
            <w:shd w:val="clear" w:color="auto" w:fill="auto"/>
            <w:noWrap/>
            <w:vAlign w:val="bottom"/>
            <w:hideMark/>
          </w:tcPr>
          <w:p w14:paraId="376BFFCE" w14:textId="77777777" w:rsidR="00E72CA9" w:rsidRDefault="00D516E3">
            <w:pPr>
              <w:ind w:firstLineChars="50" w:firstLine="110"/>
              <w:rPr>
                <w:color w:val="000000"/>
                <w:sz w:val="22"/>
              </w:rPr>
            </w:pPr>
            <w:r>
              <w:rPr>
                <w:color w:val="000000"/>
                <w:sz w:val="22"/>
              </w:rPr>
              <w:t>1.400</w:t>
            </w:r>
          </w:p>
        </w:tc>
        <w:tc>
          <w:tcPr>
            <w:tcW w:w="878" w:type="dxa"/>
            <w:tcBorders>
              <w:top w:val="nil"/>
              <w:left w:val="nil"/>
              <w:bottom w:val="nil"/>
              <w:right w:val="nil"/>
            </w:tcBorders>
            <w:shd w:val="clear" w:color="auto" w:fill="auto"/>
            <w:noWrap/>
            <w:vAlign w:val="bottom"/>
            <w:hideMark/>
          </w:tcPr>
          <w:p w14:paraId="45414186" w14:textId="77777777" w:rsidR="00E72CA9" w:rsidRDefault="00D516E3">
            <w:pPr>
              <w:ind w:firstLineChars="50" w:firstLine="110"/>
              <w:rPr>
                <w:color w:val="000000"/>
                <w:sz w:val="22"/>
              </w:rPr>
            </w:pPr>
            <w:r>
              <w:rPr>
                <w:color w:val="000000"/>
                <w:sz w:val="22"/>
              </w:rPr>
              <w:t>396</w:t>
            </w:r>
          </w:p>
        </w:tc>
        <w:tc>
          <w:tcPr>
            <w:tcW w:w="878" w:type="dxa"/>
            <w:tcBorders>
              <w:top w:val="nil"/>
              <w:left w:val="nil"/>
              <w:bottom w:val="nil"/>
              <w:right w:val="nil"/>
            </w:tcBorders>
            <w:shd w:val="clear" w:color="auto" w:fill="auto"/>
            <w:noWrap/>
            <w:vAlign w:val="bottom"/>
            <w:hideMark/>
          </w:tcPr>
          <w:p w14:paraId="737B9AA7" w14:textId="77777777" w:rsidR="00E72CA9" w:rsidRDefault="00D516E3">
            <w:pPr>
              <w:ind w:firstLineChars="50" w:firstLine="110"/>
              <w:rPr>
                <w:color w:val="000000"/>
                <w:sz w:val="22"/>
              </w:rPr>
            </w:pPr>
            <w:r>
              <w:rPr>
                <w:color w:val="000000"/>
                <w:sz w:val="22"/>
              </w:rPr>
              <w:t>253</w:t>
            </w:r>
          </w:p>
        </w:tc>
        <w:tc>
          <w:tcPr>
            <w:tcW w:w="878" w:type="dxa"/>
            <w:tcBorders>
              <w:top w:val="nil"/>
              <w:left w:val="nil"/>
              <w:bottom w:val="nil"/>
              <w:right w:val="nil"/>
            </w:tcBorders>
            <w:shd w:val="clear" w:color="auto" w:fill="auto"/>
            <w:noWrap/>
            <w:vAlign w:val="bottom"/>
            <w:hideMark/>
          </w:tcPr>
          <w:p w14:paraId="67E8E4DD" w14:textId="77777777" w:rsidR="00E72CA9" w:rsidRDefault="00D516E3">
            <w:pPr>
              <w:ind w:firstLineChars="50" w:firstLine="110"/>
              <w:rPr>
                <w:color w:val="000000"/>
                <w:sz w:val="22"/>
              </w:rPr>
            </w:pPr>
            <w:r>
              <w:rPr>
                <w:color w:val="000000"/>
                <w:sz w:val="22"/>
              </w:rPr>
              <w:t>550</w:t>
            </w:r>
          </w:p>
        </w:tc>
        <w:tc>
          <w:tcPr>
            <w:tcW w:w="1169" w:type="dxa"/>
            <w:tcBorders>
              <w:top w:val="nil"/>
              <w:left w:val="nil"/>
              <w:bottom w:val="nil"/>
              <w:right w:val="nil"/>
            </w:tcBorders>
            <w:shd w:val="clear" w:color="auto" w:fill="auto"/>
            <w:noWrap/>
            <w:vAlign w:val="bottom"/>
            <w:hideMark/>
          </w:tcPr>
          <w:p w14:paraId="6CA0D736" w14:textId="77777777" w:rsidR="00E72CA9" w:rsidRDefault="00D516E3">
            <w:pPr>
              <w:ind w:firstLineChars="50" w:firstLine="110"/>
              <w:rPr>
                <w:color w:val="000000"/>
                <w:sz w:val="22"/>
              </w:rPr>
            </w:pPr>
            <w:r>
              <w:rPr>
                <w:color w:val="000000"/>
                <w:sz w:val="22"/>
              </w:rPr>
              <w:t>55.1</w:t>
            </w:r>
          </w:p>
        </w:tc>
      </w:tr>
      <w:tr w:rsidR="00E72CA9" w14:paraId="44D25164" w14:textId="77777777">
        <w:trPr>
          <w:trHeight w:val="300"/>
          <w:jc w:val="center"/>
        </w:trPr>
        <w:tc>
          <w:tcPr>
            <w:tcW w:w="2635" w:type="dxa"/>
            <w:tcBorders>
              <w:top w:val="nil"/>
              <w:left w:val="nil"/>
              <w:bottom w:val="nil"/>
              <w:right w:val="nil"/>
            </w:tcBorders>
            <w:shd w:val="clear" w:color="auto" w:fill="auto"/>
            <w:noWrap/>
            <w:vAlign w:val="bottom"/>
            <w:hideMark/>
          </w:tcPr>
          <w:p w14:paraId="035DA9F9" w14:textId="77777777" w:rsidR="00E72CA9" w:rsidRDefault="00D516E3">
            <w:pPr>
              <w:ind w:firstLineChars="50" w:firstLine="110"/>
              <w:jc w:val="both"/>
              <w:rPr>
                <w:color w:val="000000"/>
                <w:sz w:val="22"/>
              </w:rPr>
            </w:pPr>
            <w:r>
              <w:rPr>
                <w:color w:val="000000"/>
                <w:sz w:val="22"/>
              </w:rPr>
              <w:t>5-year-old Male, Female</w:t>
            </w:r>
          </w:p>
        </w:tc>
        <w:tc>
          <w:tcPr>
            <w:tcW w:w="878" w:type="dxa"/>
            <w:tcBorders>
              <w:top w:val="nil"/>
              <w:left w:val="nil"/>
              <w:bottom w:val="nil"/>
              <w:right w:val="nil"/>
            </w:tcBorders>
            <w:shd w:val="clear" w:color="auto" w:fill="auto"/>
            <w:noWrap/>
            <w:vAlign w:val="bottom"/>
            <w:hideMark/>
          </w:tcPr>
          <w:p w14:paraId="3B4E560D" w14:textId="77777777" w:rsidR="00E72CA9" w:rsidRDefault="00D516E3">
            <w:pPr>
              <w:ind w:firstLineChars="50" w:firstLine="110"/>
              <w:rPr>
                <w:color w:val="000000"/>
                <w:sz w:val="22"/>
              </w:rPr>
            </w:pPr>
            <w:r>
              <w:rPr>
                <w:color w:val="000000"/>
                <w:sz w:val="22"/>
              </w:rPr>
              <w:t>0.850</w:t>
            </w:r>
          </w:p>
        </w:tc>
        <w:tc>
          <w:tcPr>
            <w:tcW w:w="878" w:type="dxa"/>
            <w:tcBorders>
              <w:top w:val="nil"/>
              <w:left w:val="nil"/>
              <w:bottom w:val="nil"/>
              <w:right w:val="nil"/>
            </w:tcBorders>
            <w:shd w:val="clear" w:color="auto" w:fill="auto"/>
            <w:noWrap/>
            <w:vAlign w:val="bottom"/>
            <w:hideMark/>
          </w:tcPr>
          <w:p w14:paraId="47480B16" w14:textId="77777777" w:rsidR="00E72CA9" w:rsidRDefault="00D516E3">
            <w:pPr>
              <w:ind w:firstLineChars="50" w:firstLine="110"/>
              <w:rPr>
                <w:color w:val="000000"/>
                <w:sz w:val="22"/>
              </w:rPr>
            </w:pPr>
            <w:r>
              <w:rPr>
                <w:color w:val="000000"/>
                <w:sz w:val="22"/>
              </w:rPr>
              <w:t>0.850</w:t>
            </w:r>
          </w:p>
        </w:tc>
        <w:tc>
          <w:tcPr>
            <w:tcW w:w="878" w:type="dxa"/>
            <w:tcBorders>
              <w:top w:val="nil"/>
              <w:left w:val="nil"/>
              <w:bottom w:val="nil"/>
              <w:right w:val="nil"/>
            </w:tcBorders>
            <w:shd w:val="clear" w:color="auto" w:fill="auto"/>
            <w:noWrap/>
            <w:vAlign w:val="bottom"/>
            <w:hideMark/>
          </w:tcPr>
          <w:p w14:paraId="31DE2715" w14:textId="77777777" w:rsidR="00E72CA9" w:rsidRDefault="00D516E3">
            <w:pPr>
              <w:ind w:firstLineChars="50" w:firstLine="110"/>
              <w:rPr>
                <w:color w:val="000000"/>
                <w:sz w:val="22"/>
              </w:rPr>
            </w:pPr>
            <w:r>
              <w:rPr>
                <w:color w:val="000000"/>
                <w:sz w:val="22"/>
              </w:rPr>
              <w:t>1.928</w:t>
            </w:r>
          </w:p>
        </w:tc>
        <w:tc>
          <w:tcPr>
            <w:tcW w:w="878" w:type="dxa"/>
            <w:tcBorders>
              <w:top w:val="nil"/>
              <w:left w:val="nil"/>
              <w:bottom w:val="nil"/>
              <w:right w:val="nil"/>
            </w:tcBorders>
            <w:shd w:val="clear" w:color="auto" w:fill="auto"/>
            <w:noWrap/>
            <w:vAlign w:val="bottom"/>
            <w:hideMark/>
          </w:tcPr>
          <w:p w14:paraId="328E0D2C" w14:textId="77777777" w:rsidR="00E72CA9" w:rsidRDefault="00D516E3">
            <w:pPr>
              <w:ind w:firstLineChars="50" w:firstLine="110"/>
              <w:rPr>
                <w:color w:val="000000"/>
                <w:sz w:val="22"/>
              </w:rPr>
            </w:pPr>
            <w:r>
              <w:rPr>
                <w:color w:val="000000"/>
                <w:sz w:val="22"/>
              </w:rPr>
              <w:t>424</w:t>
            </w:r>
          </w:p>
        </w:tc>
        <w:tc>
          <w:tcPr>
            <w:tcW w:w="878" w:type="dxa"/>
            <w:tcBorders>
              <w:top w:val="nil"/>
              <w:left w:val="nil"/>
              <w:bottom w:val="nil"/>
              <w:right w:val="nil"/>
            </w:tcBorders>
            <w:shd w:val="clear" w:color="auto" w:fill="auto"/>
            <w:noWrap/>
            <w:vAlign w:val="bottom"/>
            <w:hideMark/>
          </w:tcPr>
          <w:p w14:paraId="0E9C21D6" w14:textId="77777777" w:rsidR="00E72CA9" w:rsidRDefault="00D516E3">
            <w:pPr>
              <w:ind w:firstLineChars="50" w:firstLine="110"/>
              <w:rPr>
                <w:color w:val="000000"/>
                <w:sz w:val="22"/>
              </w:rPr>
            </w:pPr>
            <w:r>
              <w:rPr>
                <w:color w:val="000000"/>
                <w:sz w:val="22"/>
              </w:rPr>
              <w:t>235</w:t>
            </w:r>
          </w:p>
        </w:tc>
        <w:tc>
          <w:tcPr>
            <w:tcW w:w="878" w:type="dxa"/>
            <w:tcBorders>
              <w:top w:val="nil"/>
              <w:left w:val="nil"/>
              <w:bottom w:val="nil"/>
              <w:right w:val="nil"/>
            </w:tcBorders>
            <w:shd w:val="clear" w:color="auto" w:fill="auto"/>
            <w:noWrap/>
            <w:vAlign w:val="bottom"/>
            <w:hideMark/>
          </w:tcPr>
          <w:p w14:paraId="16CAC1D9" w14:textId="77777777" w:rsidR="00E72CA9" w:rsidRDefault="00D516E3">
            <w:pPr>
              <w:ind w:firstLineChars="50" w:firstLine="110"/>
              <w:rPr>
                <w:color w:val="000000"/>
                <w:sz w:val="22"/>
              </w:rPr>
            </w:pPr>
            <w:r>
              <w:rPr>
                <w:color w:val="000000"/>
                <w:sz w:val="22"/>
              </w:rPr>
              <w:t>576</w:t>
            </w:r>
          </w:p>
        </w:tc>
        <w:tc>
          <w:tcPr>
            <w:tcW w:w="1169" w:type="dxa"/>
            <w:tcBorders>
              <w:top w:val="nil"/>
              <w:left w:val="nil"/>
              <w:bottom w:val="nil"/>
              <w:right w:val="nil"/>
            </w:tcBorders>
            <w:shd w:val="clear" w:color="auto" w:fill="auto"/>
            <w:noWrap/>
            <w:vAlign w:val="bottom"/>
            <w:hideMark/>
          </w:tcPr>
          <w:p w14:paraId="7B7B50A9" w14:textId="77777777" w:rsidR="00E72CA9" w:rsidRDefault="00D516E3">
            <w:pPr>
              <w:ind w:firstLineChars="50" w:firstLine="110"/>
              <w:rPr>
                <w:color w:val="000000"/>
                <w:sz w:val="22"/>
              </w:rPr>
            </w:pPr>
            <w:r>
              <w:rPr>
                <w:color w:val="000000"/>
                <w:sz w:val="22"/>
              </w:rPr>
              <w:t>57.4</w:t>
            </w:r>
          </w:p>
        </w:tc>
      </w:tr>
      <w:tr w:rsidR="00E72CA9" w14:paraId="35ABB6DC" w14:textId="77777777">
        <w:trPr>
          <w:trHeight w:val="300"/>
          <w:jc w:val="center"/>
        </w:trPr>
        <w:tc>
          <w:tcPr>
            <w:tcW w:w="2635" w:type="dxa"/>
            <w:tcBorders>
              <w:top w:val="nil"/>
              <w:left w:val="nil"/>
              <w:bottom w:val="nil"/>
              <w:right w:val="nil"/>
            </w:tcBorders>
            <w:shd w:val="clear" w:color="auto" w:fill="auto"/>
            <w:noWrap/>
            <w:vAlign w:val="bottom"/>
            <w:hideMark/>
          </w:tcPr>
          <w:p w14:paraId="538935AE" w14:textId="77777777" w:rsidR="00E72CA9" w:rsidRDefault="00D516E3">
            <w:pPr>
              <w:ind w:firstLineChars="50" w:firstLine="110"/>
              <w:jc w:val="both"/>
              <w:rPr>
                <w:color w:val="000000"/>
                <w:sz w:val="22"/>
              </w:rPr>
            </w:pPr>
            <w:r>
              <w:rPr>
                <w:color w:val="000000"/>
                <w:sz w:val="22"/>
              </w:rPr>
              <w:t>10-year Male-old, Female</w:t>
            </w:r>
          </w:p>
        </w:tc>
        <w:tc>
          <w:tcPr>
            <w:tcW w:w="878" w:type="dxa"/>
            <w:tcBorders>
              <w:top w:val="nil"/>
              <w:left w:val="nil"/>
              <w:bottom w:val="nil"/>
              <w:right w:val="nil"/>
            </w:tcBorders>
            <w:shd w:val="clear" w:color="auto" w:fill="auto"/>
            <w:noWrap/>
            <w:vAlign w:val="bottom"/>
            <w:hideMark/>
          </w:tcPr>
          <w:p w14:paraId="51DD3192" w14:textId="77777777" w:rsidR="00E72CA9" w:rsidRDefault="00D516E3">
            <w:pPr>
              <w:ind w:firstLineChars="50" w:firstLine="110"/>
              <w:rPr>
                <w:color w:val="000000"/>
                <w:sz w:val="22"/>
              </w:rPr>
            </w:pPr>
            <w:r>
              <w:rPr>
                <w:color w:val="000000"/>
                <w:sz w:val="22"/>
              </w:rPr>
              <w:t>0.990</w:t>
            </w:r>
          </w:p>
        </w:tc>
        <w:tc>
          <w:tcPr>
            <w:tcW w:w="878" w:type="dxa"/>
            <w:tcBorders>
              <w:top w:val="nil"/>
              <w:left w:val="nil"/>
              <w:bottom w:val="nil"/>
              <w:right w:val="nil"/>
            </w:tcBorders>
            <w:shd w:val="clear" w:color="auto" w:fill="auto"/>
            <w:noWrap/>
            <w:vAlign w:val="bottom"/>
            <w:hideMark/>
          </w:tcPr>
          <w:p w14:paraId="2DC39451" w14:textId="77777777" w:rsidR="00E72CA9" w:rsidRDefault="00D516E3">
            <w:pPr>
              <w:ind w:firstLineChars="50" w:firstLine="110"/>
              <w:rPr>
                <w:color w:val="000000"/>
                <w:sz w:val="22"/>
              </w:rPr>
            </w:pPr>
            <w:r>
              <w:rPr>
                <w:color w:val="000000"/>
                <w:sz w:val="22"/>
              </w:rPr>
              <w:t>0.990</w:t>
            </w:r>
          </w:p>
        </w:tc>
        <w:tc>
          <w:tcPr>
            <w:tcW w:w="878" w:type="dxa"/>
            <w:tcBorders>
              <w:top w:val="nil"/>
              <w:left w:val="nil"/>
              <w:bottom w:val="nil"/>
              <w:right w:val="nil"/>
            </w:tcBorders>
            <w:shd w:val="clear" w:color="auto" w:fill="auto"/>
            <w:noWrap/>
            <w:vAlign w:val="bottom"/>
            <w:hideMark/>
          </w:tcPr>
          <w:p w14:paraId="431DBEF1" w14:textId="77777777" w:rsidR="00E72CA9" w:rsidRDefault="00D516E3">
            <w:pPr>
              <w:ind w:firstLineChars="50" w:firstLine="110"/>
              <w:rPr>
                <w:color w:val="000000"/>
                <w:sz w:val="22"/>
              </w:rPr>
            </w:pPr>
            <w:r>
              <w:rPr>
                <w:color w:val="000000"/>
                <w:sz w:val="22"/>
              </w:rPr>
              <w:t>2.425</w:t>
            </w:r>
          </w:p>
        </w:tc>
        <w:tc>
          <w:tcPr>
            <w:tcW w:w="878" w:type="dxa"/>
            <w:tcBorders>
              <w:top w:val="nil"/>
              <w:left w:val="nil"/>
              <w:bottom w:val="nil"/>
              <w:right w:val="nil"/>
            </w:tcBorders>
            <w:shd w:val="clear" w:color="auto" w:fill="auto"/>
            <w:noWrap/>
            <w:vAlign w:val="bottom"/>
            <w:hideMark/>
          </w:tcPr>
          <w:p w14:paraId="67330362" w14:textId="77777777" w:rsidR="00E72CA9" w:rsidRDefault="00D516E3">
            <w:pPr>
              <w:ind w:firstLineChars="50" w:firstLine="110"/>
              <w:rPr>
                <w:color w:val="000000"/>
                <w:sz w:val="22"/>
              </w:rPr>
            </w:pPr>
            <w:r>
              <w:rPr>
                <w:color w:val="000000"/>
                <w:sz w:val="22"/>
              </w:rPr>
              <w:t>432</w:t>
            </w:r>
          </w:p>
        </w:tc>
        <w:tc>
          <w:tcPr>
            <w:tcW w:w="878" w:type="dxa"/>
            <w:tcBorders>
              <w:top w:val="nil"/>
              <w:left w:val="nil"/>
              <w:bottom w:val="nil"/>
              <w:right w:val="nil"/>
            </w:tcBorders>
            <w:shd w:val="clear" w:color="auto" w:fill="auto"/>
            <w:noWrap/>
            <w:vAlign w:val="bottom"/>
            <w:hideMark/>
          </w:tcPr>
          <w:p w14:paraId="2B15ACA8" w14:textId="77777777" w:rsidR="00E72CA9" w:rsidRDefault="00D516E3">
            <w:pPr>
              <w:ind w:firstLineChars="50" w:firstLine="110"/>
              <w:rPr>
                <w:color w:val="000000"/>
                <w:sz w:val="22"/>
              </w:rPr>
            </w:pPr>
            <w:r>
              <w:rPr>
                <w:color w:val="000000"/>
                <w:sz w:val="22"/>
              </w:rPr>
              <w:t>226</w:t>
            </w:r>
          </w:p>
        </w:tc>
        <w:tc>
          <w:tcPr>
            <w:tcW w:w="878" w:type="dxa"/>
            <w:tcBorders>
              <w:top w:val="nil"/>
              <w:left w:val="nil"/>
              <w:bottom w:val="nil"/>
              <w:right w:val="nil"/>
            </w:tcBorders>
            <w:shd w:val="clear" w:color="auto" w:fill="auto"/>
            <w:noWrap/>
            <w:vAlign w:val="bottom"/>
            <w:hideMark/>
          </w:tcPr>
          <w:p w14:paraId="798D6BA4" w14:textId="77777777" w:rsidR="00E72CA9" w:rsidRDefault="00D516E3">
            <w:pPr>
              <w:ind w:firstLineChars="50" w:firstLine="110"/>
              <w:rPr>
                <w:color w:val="000000"/>
                <w:sz w:val="22"/>
              </w:rPr>
            </w:pPr>
            <w:r>
              <w:rPr>
                <w:color w:val="000000"/>
                <w:sz w:val="22"/>
              </w:rPr>
              <w:t>580</w:t>
            </w:r>
          </w:p>
        </w:tc>
        <w:tc>
          <w:tcPr>
            <w:tcW w:w="1169" w:type="dxa"/>
            <w:tcBorders>
              <w:top w:val="nil"/>
              <w:left w:val="nil"/>
              <w:bottom w:val="nil"/>
              <w:right w:val="nil"/>
            </w:tcBorders>
            <w:shd w:val="clear" w:color="auto" w:fill="auto"/>
            <w:noWrap/>
            <w:vAlign w:val="bottom"/>
            <w:hideMark/>
          </w:tcPr>
          <w:p w14:paraId="41675EC6" w14:textId="77777777" w:rsidR="00E72CA9" w:rsidRDefault="00D516E3">
            <w:pPr>
              <w:ind w:firstLineChars="50" w:firstLine="110"/>
              <w:rPr>
                <w:color w:val="000000"/>
                <w:sz w:val="22"/>
              </w:rPr>
            </w:pPr>
            <w:r>
              <w:rPr>
                <w:color w:val="000000"/>
                <w:sz w:val="22"/>
              </w:rPr>
              <w:t>56.6</w:t>
            </w:r>
          </w:p>
        </w:tc>
      </w:tr>
      <w:tr w:rsidR="00E72CA9" w14:paraId="1E37623B" w14:textId="77777777">
        <w:trPr>
          <w:trHeight w:val="300"/>
          <w:jc w:val="center"/>
        </w:trPr>
        <w:tc>
          <w:tcPr>
            <w:tcW w:w="2635" w:type="dxa"/>
            <w:tcBorders>
              <w:top w:val="nil"/>
              <w:left w:val="nil"/>
              <w:bottom w:val="nil"/>
              <w:right w:val="nil"/>
            </w:tcBorders>
            <w:shd w:val="clear" w:color="auto" w:fill="auto"/>
            <w:noWrap/>
            <w:vAlign w:val="bottom"/>
          </w:tcPr>
          <w:p w14:paraId="1792E31A" w14:textId="77777777" w:rsidR="00E72CA9" w:rsidRDefault="00D516E3">
            <w:pPr>
              <w:ind w:firstLineChars="50" w:firstLine="110"/>
              <w:jc w:val="both"/>
              <w:rPr>
                <w:color w:val="000000"/>
                <w:sz w:val="22"/>
              </w:rPr>
            </w:pPr>
            <w:r>
              <w:rPr>
                <w:color w:val="000000"/>
                <w:sz w:val="22"/>
              </w:rPr>
              <w:t>15-year-old Male</w:t>
            </w:r>
          </w:p>
        </w:tc>
        <w:tc>
          <w:tcPr>
            <w:tcW w:w="878" w:type="dxa"/>
            <w:tcBorders>
              <w:top w:val="nil"/>
              <w:left w:val="nil"/>
              <w:bottom w:val="nil"/>
              <w:right w:val="nil"/>
            </w:tcBorders>
            <w:shd w:val="clear" w:color="auto" w:fill="auto"/>
            <w:noWrap/>
            <w:vAlign w:val="bottom"/>
          </w:tcPr>
          <w:p w14:paraId="791F135D" w14:textId="77777777" w:rsidR="00E72CA9" w:rsidRDefault="00D516E3">
            <w:pPr>
              <w:ind w:firstLineChars="50" w:firstLine="110"/>
              <w:rPr>
                <w:color w:val="000000"/>
                <w:sz w:val="22"/>
              </w:rPr>
            </w:pPr>
            <w:r>
              <w:rPr>
                <w:color w:val="000000"/>
                <w:sz w:val="22"/>
              </w:rPr>
              <w:t>1.250</w:t>
            </w:r>
          </w:p>
        </w:tc>
        <w:tc>
          <w:tcPr>
            <w:tcW w:w="878" w:type="dxa"/>
            <w:tcBorders>
              <w:top w:val="nil"/>
              <w:left w:val="nil"/>
              <w:bottom w:val="nil"/>
              <w:right w:val="nil"/>
            </w:tcBorders>
            <w:shd w:val="clear" w:color="auto" w:fill="auto"/>
            <w:noWrap/>
            <w:vAlign w:val="bottom"/>
          </w:tcPr>
          <w:p w14:paraId="3836DC75" w14:textId="77777777" w:rsidR="00E72CA9" w:rsidRDefault="00D516E3">
            <w:pPr>
              <w:ind w:firstLineChars="50" w:firstLine="110"/>
              <w:rPr>
                <w:color w:val="000000"/>
                <w:sz w:val="22"/>
              </w:rPr>
            </w:pPr>
            <w:r>
              <w:rPr>
                <w:color w:val="000000"/>
                <w:sz w:val="22"/>
              </w:rPr>
              <w:t>1.250</w:t>
            </w:r>
          </w:p>
        </w:tc>
        <w:tc>
          <w:tcPr>
            <w:tcW w:w="878" w:type="dxa"/>
            <w:tcBorders>
              <w:top w:val="nil"/>
              <w:left w:val="nil"/>
              <w:bottom w:val="nil"/>
              <w:right w:val="nil"/>
            </w:tcBorders>
            <w:shd w:val="clear" w:color="auto" w:fill="auto"/>
            <w:noWrap/>
            <w:vAlign w:val="bottom"/>
          </w:tcPr>
          <w:p w14:paraId="2BB45025" w14:textId="77777777" w:rsidR="00E72CA9" w:rsidRDefault="00D516E3">
            <w:pPr>
              <w:ind w:firstLineChars="50" w:firstLine="110"/>
              <w:rPr>
                <w:color w:val="000000"/>
                <w:sz w:val="22"/>
              </w:rPr>
            </w:pPr>
            <w:r>
              <w:rPr>
                <w:color w:val="000000"/>
                <w:sz w:val="22"/>
              </w:rPr>
              <w:t>2.832</w:t>
            </w:r>
          </w:p>
        </w:tc>
        <w:tc>
          <w:tcPr>
            <w:tcW w:w="878" w:type="dxa"/>
            <w:tcBorders>
              <w:top w:val="nil"/>
              <w:left w:val="nil"/>
              <w:bottom w:val="nil"/>
              <w:right w:val="nil"/>
            </w:tcBorders>
            <w:shd w:val="clear" w:color="auto" w:fill="auto"/>
            <w:noWrap/>
            <w:vAlign w:val="bottom"/>
          </w:tcPr>
          <w:p w14:paraId="3F73548A" w14:textId="77777777" w:rsidR="00E72CA9" w:rsidRDefault="00D516E3">
            <w:pPr>
              <w:ind w:firstLineChars="50" w:firstLine="110"/>
              <w:rPr>
                <w:color w:val="000000"/>
                <w:sz w:val="22"/>
              </w:rPr>
            </w:pPr>
            <w:r>
              <w:rPr>
                <w:color w:val="000000"/>
                <w:sz w:val="22"/>
              </w:rPr>
              <w:t>416</w:t>
            </w:r>
          </w:p>
        </w:tc>
        <w:tc>
          <w:tcPr>
            <w:tcW w:w="878" w:type="dxa"/>
            <w:tcBorders>
              <w:top w:val="nil"/>
              <w:left w:val="nil"/>
              <w:bottom w:val="nil"/>
              <w:right w:val="nil"/>
            </w:tcBorders>
            <w:shd w:val="clear" w:color="auto" w:fill="auto"/>
            <w:noWrap/>
            <w:vAlign w:val="bottom"/>
          </w:tcPr>
          <w:p w14:paraId="467EF558" w14:textId="77777777" w:rsidR="00E72CA9" w:rsidRDefault="00D516E3">
            <w:pPr>
              <w:ind w:firstLineChars="50" w:firstLine="110"/>
              <w:rPr>
                <w:color w:val="000000"/>
                <w:sz w:val="22"/>
              </w:rPr>
            </w:pPr>
            <w:r>
              <w:rPr>
                <w:color w:val="000000"/>
                <w:sz w:val="22"/>
              </w:rPr>
              <w:t>230</w:t>
            </w:r>
          </w:p>
        </w:tc>
        <w:tc>
          <w:tcPr>
            <w:tcW w:w="878" w:type="dxa"/>
            <w:tcBorders>
              <w:top w:val="nil"/>
              <w:left w:val="nil"/>
              <w:bottom w:val="nil"/>
              <w:right w:val="nil"/>
            </w:tcBorders>
            <w:shd w:val="clear" w:color="auto" w:fill="auto"/>
            <w:noWrap/>
            <w:vAlign w:val="bottom"/>
          </w:tcPr>
          <w:p w14:paraId="0F970830" w14:textId="77777777" w:rsidR="00E72CA9" w:rsidRDefault="00D516E3">
            <w:pPr>
              <w:ind w:firstLineChars="50" w:firstLine="110"/>
              <w:rPr>
                <w:color w:val="000000"/>
                <w:sz w:val="22"/>
              </w:rPr>
            </w:pPr>
            <w:r>
              <w:rPr>
                <w:color w:val="000000"/>
                <w:sz w:val="22"/>
              </w:rPr>
              <w:t>590</w:t>
            </w:r>
          </w:p>
        </w:tc>
        <w:tc>
          <w:tcPr>
            <w:tcW w:w="1169" w:type="dxa"/>
            <w:tcBorders>
              <w:top w:val="nil"/>
              <w:left w:val="nil"/>
              <w:bottom w:val="nil"/>
              <w:right w:val="nil"/>
            </w:tcBorders>
            <w:shd w:val="clear" w:color="auto" w:fill="auto"/>
            <w:noWrap/>
            <w:vAlign w:val="bottom"/>
          </w:tcPr>
          <w:p w14:paraId="3021DD66" w14:textId="77777777" w:rsidR="00E72CA9" w:rsidRDefault="00D516E3">
            <w:pPr>
              <w:ind w:firstLineChars="50" w:firstLine="110"/>
              <w:rPr>
                <w:color w:val="000000"/>
                <w:sz w:val="22"/>
              </w:rPr>
            </w:pPr>
            <w:r>
              <w:rPr>
                <w:color w:val="000000"/>
                <w:sz w:val="22"/>
              </w:rPr>
              <w:t>56.5</w:t>
            </w:r>
          </w:p>
        </w:tc>
      </w:tr>
      <w:tr w:rsidR="00E72CA9" w14:paraId="5112F22A" w14:textId="77777777">
        <w:trPr>
          <w:trHeight w:val="300"/>
          <w:jc w:val="center"/>
        </w:trPr>
        <w:tc>
          <w:tcPr>
            <w:tcW w:w="2635" w:type="dxa"/>
            <w:tcBorders>
              <w:top w:val="nil"/>
              <w:left w:val="nil"/>
              <w:bottom w:val="single" w:sz="8" w:space="0" w:color="auto"/>
              <w:right w:val="nil"/>
            </w:tcBorders>
            <w:shd w:val="clear" w:color="auto" w:fill="auto"/>
            <w:noWrap/>
            <w:vAlign w:val="bottom"/>
            <w:hideMark/>
          </w:tcPr>
          <w:p w14:paraId="4DC0328C" w14:textId="77777777" w:rsidR="00E72CA9" w:rsidRDefault="00D516E3">
            <w:pPr>
              <w:ind w:firstLineChars="50" w:firstLine="110"/>
              <w:jc w:val="both"/>
              <w:rPr>
                <w:color w:val="000000"/>
                <w:sz w:val="22"/>
              </w:rPr>
            </w:pPr>
            <w:r>
              <w:rPr>
                <w:color w:val="000000"/>
                <w:sz w:val="22"/>
              </w:rPr>
              <w:t>15-year-old Female</w:t>
            </w:r>
          </w:p>
        </w:tc>
        <w:tc>
          <w:tcPr>
            <w:tcW w:w="878" w:type="dxa"/>
            <w:tcBorders>
              <w:top w:val="nil"/>
              <w:left w:val="nil"/>
              <w:bottom w:val="single" w:sz="8" w:space="0" w:color="auto"/>
              <w:right w:val="nil"/>
            </w:tcBorders>
            <w:shd w:val="clear" w:color="auto" w:fill="auto"/>
            <w:noWrap/>
            <w:vAlign w:val="bottom"/>
            <w:hideMark/>
          </w:tcPr>
          <w:p w14:paraId="615FF8C7" w14:textId="77777777" w:rsidR="00E72CA9" w:rsidRDefault="00D516E3">
            <w:pPr>
              <w:ind w:firstLineChars="50" w:firstLine="110"/>
              <w:rPr>
                <w:color w:val="000000"/>
                <w:sz w:val="22"/>
              </w:rPr>
            </w:pPr>
            <w:r>
              <w:rPr>
                <w:color w:val="000000"/>
                <w:sz w:val="22"/>
              </w:rPr>
              <w:t>1.200</w:t>
            </w:r>
          </w:p>
        </w:tc>
        <w:tc>
          <w:tcPr>
            <w:tcW w:w="878" w:type="dxa"/>
            <w:tcBorders>
              <w:top w:val="nil"/>
              <w:left w:val="nil"/>
              <w:bottom w:val="single" w:sz="8" w:space="0" w:color="auto"/>
              <w:right w:val="nil"/>
            </w:tcBorders>
            <w:shd w:val="clear" w:color="auto" w:fill="auto"/>
            <w:noWrap/>
            <w:vAlign w:val="bottom"/>
            <w:hideMark/>
          </w:tcPr>
          <w:p w14:paraId="39D7D4EB" w14:textId="77777777" w:rsidR="00E72CA9" w:rsidRDefault="00D516E3">
            <w:pPr>
              <w:ind w:firstLineChars="50" w:firstLine="110"/>
              <w:rPr>
                <w:color w:val="000000"/>
                <w:sz w:val="22"/>
              </w:rPr>
            </w:pPr>
            <w:r>
              <w:rPr>
                <w:color w:val="000000"/>
                <w:sz w:val="22"/>
              </w:rPr>
              <w:t>1.100</w:t>
            </w:r>
          </w:p>
        </w:tc>
        <w:tc>
          <w:tcPr>
            <w:tcW w:w="878" w:type="dxa"/>
            <w:tcBorders>
              <w:top w:val="nil"/>
              <w:left w:val="nil"/>
              <w:bottom w:val="single" w:sz="8" w:space="0" w:color="auto"/>
              <w:right w:val="nil"/>
            </w:tcBorders>
            <w:shd w:val="clear" w:color="auto" w:fill="auto"/>
            <w:noWrap/>
            <w:vAlign w:val="bottom"/>
            <w:hideMark/>
          </w:tcPr>
          <w:p w14:paraId="2810010E" w14:textId="77777777" w:rsidR="00E72CA9" w:rsidRDefault="00D516E3">
            <w:pPr>
              <w:ind w:firstLineChars="50" w:firstLine="110"/>
              <w:rPr>
                <w:color w:val="000000"/>
                <w:sz w:val="22"/>
              </w:rPr>
            </w:pPr>
            <w:r>
              <w:rPr>
                <w:color w:val="000000"/>
                <w:sz w:val="22"/>
              </w:rPr>
              <w:t>2.828</w:t>
            </w:r>
          </w:p>
        </w:tc>
        <w:tc>
          <w:tcPr>
            <w:tcW w:w="878" w:type="dxa"/>
            <w:tcBorders>
              <w:top w:val="nil"/>
              <w:left w:val="nil"/>
              <w:bottom w:val="single" w:sz="8" w:space="0" w:color="auto"/>
              <w:right w:val="nil"/>
            </w:tcBorders>
            <w:shd w:val="clear" w:color="auto" w:fill="auto"/>
            <w:noWrap/>
            <w:vAlign w:val="bottom"/>
            <w:hideMark/>
          </w:tcPr>
          <w:p w14:paraId="09054D15" w14:textId="77777777" w:rsidR="00E72CA9" w:rsidRDefault="00D516E3">
            <w:pPr>
              <w:ind w:firstLineChars="50" w:firstLine="110"/>
              <w:rPr>
                <w:color w:val="000000"/>
                <w:sz w:val="22"/>
              </w:rPr>
            </w:pPr>
            <w:r>
              <w:rPr>
                <w:color w:val="000000"/>
                <w:sz w:val="22"/>
              </w:rPr>
              <w:t>408</w:t>
            </w:r>
          </w:p>
        </w:tc>
        <w:tc>
          <w:tcPr>
            <w:tcW w:w="878" w:type="dxa"/>
            <w:tcBorders>
              <w:top w:val="nil"/>
              <w:left w:val="nil"/>
              <w:bottom w:val="single" w:sz="8" w:space="0" w:color="auto"/>
              <w:right w:val="nil"/>
            </w:tcBorders>
            <w:shd w:val="clear" w:color="auto" w:fill="auto"/>
            <w:noWrap/>
            <w:vAlign w:val="bottom"/>
            <w:hideMark/>
          </w:tcPr>
          <w:p w14:paraId="2B6ACDAF" w14:textId="77777777" w:rsidR="00E72CA9" w:rsidRDefault="00D516E3">
            <w:pPr>
              <w:ind w:firstLineChars="50" w:firstLine="110"/>
              <w:rPr>
                <w:color w:val="000000"/>
                <w:sz w:val="22"/>
              </w:rPr>
            </w:pPr>
            <w:r>
              <w:rPr>
                <w:color w:val="000000"/>
                <w:sz w:val="22"/>
              </w:rPr>
              <w:t>242</w:t>
            </w:r>
          </w:p>
        </w:tc>
        <w:tc>
          <w:tcPr>
            <w:tcW w:w="878" w:type="dxa"/>
            <w:tcBorders>
              <w:top w:val="nil"/>
              <w:left w:val="nil"/>
              <w:bottom w:val="single" w:sz="8" w:space="0" w:color="auto"/>
              <w:right w:val="nil"/>
            </w:tcBorders>
            <w:shd w:val="clear" w:color="auto" w:fill="auto"/>
            <w:noWrap/>
            <w:vAlign w:val="bottom"/>
            <w:hideMark/>
          </w:tcPr>
          <w:p w14:paraId="3B618F1C" w14:textId="77777777" w:rsidR="00E72CA9" w:rsidRDefault="00D516E3">
            <w:pPr>
              <w:ind w:firstLineChars="50" w:firstLine="110"/>
              <w:rPr>
                <w:color w:val="000000"/>
                <w:sz w:val="22"/>
              </w:rPr>
            </w:pPr>
            <w:r>
              <w:rPr>
                <w:color w:val="000000"/>
                <w:sz w:val="22"/>
              </w:rPr>
              <w:t>574</w:t>
            </w:r>
          </w:p>
        </w:tc>
        <w:tc>
          <w:tcPr>
            <w:tcW w:w="1169" w:type="dxa"/>
            <w:tcBorders>
              <w:top w:val="nil"/>
              <w:left w:val="nil"/>
              <w:bottom w:val="single" w:sz="8" w:space="0" w:color="auto"/>
              <w:right w:val="nil"/>
            </w:tcBorders>
            <w:shd w:val="clear" w:color="auto" w:fill="auto"/>
            <w:noWrap/>
            <w:vAlign w:val="bottom"/>
            <w:hideMark/>
          </w:tcPr>
          <w:p w14:paraId="28BC0B87" w14:textId="77777777" w:rsidR="00E72CA9" w:rsidRDefault="00D516E3">
            <w:pPr>
              <w:ind w:firstLineChars="50" w:firstLine="110"/>
              <w:rPr>
                <w:color w:val="000000"/>
                <w:sz w:val="22"/>
              </w:rPr>
            </w:pPr>
            <w:r>
              <w:rPr>
                <w:color w:val="000000"/>
                <w:sz w:val="22"/>
              </w:rPr>
              <w:t>56.7</w:t>
            </w:r>
          </w:p>
        </w:tc>
      </w:tr>
    </w:tbl>
    <w:p w14:paraId="5EE110F8" w14:textId="77777777" w:rsidR="00E72CA9" w:rsidRDefault="00E72CA9">
      <w:pPr>
        <w:pStyle w:val="Annalstext"/>
        <w:tabs>
          <w:tab w:val="clear" w:pos="502"/>
          <w:tab w:val="clear" w:pos="851"/>
        </w:tabs>
        <w:ind w:left="0" w:firstLine="0"/>
      </w:pPr>
    </w:p>
    <w:p w14:paraId="7B54E084" w14:textId="77777777" w:rsidR="00E72CA9" w:rsidRDefault="00D516E3">
      <w:r>
        <w:br w:type="page"/>
      </w:r>
    </w:p>
    <w:p w14:paraId="023633C6" w14:textId="77777777" w:rsidR="00E72CA9" w:rsidRDefault="00D516E3">
      <w:pPr>
        <w:pStyle w:val="1"/>
      </w:pPr>
      <w:bookmarkStart w:id="45" w:name="_Toc131683948"/>
      <w:bookmarkStart w:id="46" w:name="_Toc131684041"/>
      <w:bookmarkStart w:id="47" w:name="_Toc158293325"/>
      <w:bookmarkStart w:id="48" w:name="_Toc158293651"/>
      <w:bookmarkStart w:id="49" w:name="_Toc165302037"/>
      <w:bookmarkEnd w:id="45"/>
      <w:bookmarkEnd w:id="46"/>
      <w:r>
        <w:lastRenderedPageBreak/>
        <w:t>RADIOGRAPHIC PROJECTIONS CONSIDERED</w:t>
      </w:r>
      <w:bookmarkStart w:id="50" w:name="_Toc111194098"/>
      <w:bookmarkEnd w:id="47"/>
      <w:bookmarkEnd w:id="48"/>
      <w:bookmarkEnd w:id="49"/>
      <w:r>
        <w:t xml:space="preserve"> </w:t>
      </w:r>
      <w:bookmarkEnd w:id="50"/>
    </w:p>
    <w:p w14:paraId="746CE44E" w14:textId="77777777" w:rsidR="00E72CA9" w:rsidRDefault="00D516E3">
      <w:pPr>
        <w:pStyle w:val="2"/>
        <w:rPr>
          <w:i/>
        </w:rPr>
      </w:pPr>
      <w:bookmarkStart w:id="51" w:name="_Toc98947851"/>
      <w:bookmarkStart w:id="52" w:name="_Toc111194099"/>
      <w:bookmarkStart w:id="53" w:name="_Toc158293326"/>
      <w:bookmarkStart w:id="54" w:name="_Toc158293652"/>
      <w:bookmarkStart w:id="55" w:name="_Toc165302038"/>
      <w:r>
        <w:t>Projection selection, adult radiography</w:t>
      </w:r>
      <w:bookmarkEnd w:id="51"/>
      <w:bookmarkEnd w:id="52"/>
      <w:bookmarkEnd w:id="53"/>
      <w:bookmarkEnd w:id="54"/>
      <w:bookmarkEnd w:id="55"/>
    </w:p>
    <w:p w14:paraId="107F7914" w14:textId="77777777" w:rsidR="00E72CA9" w:rsidRDefault="00D516E3">
      <w:pPr>
        <w:pStyle w:val="Annalstext"/>
        <w:numPr>
          <w:ilvl w:val="0"/>
          <w:numId w:val="1"/>
        </w:numPr>
        <w:ind w:left="0"/>
      </w:pPr>
      <w:r>
        <w:t xml:space="preserve">The radiographic projections used for adult radiography were selected on the basis of annual examination frequency in the UK (alone), Europe (including UK), the USA and UNSCEAR Health Care Level 1 countries </w:t>
      </w:r>
      <w:r>
        <w:fldChar w:fldCharType="begin">
          <w:fldData xml:space="preserve">PEVuZE5vdGU+PENpdGU+PEF1dGhvcj5OQ1JQPC9BdXRob3I+PFllYXI+MjAxOTwvWWVhcj48UmVj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</w:fldData>
        </w:fldChar>
      </w:r>
      <w:r>
        <w:instrText xml:space="preserve"> ADDIN EN.CITE </w:instrText>
      </w:r>
      <w:r>
        <w:fldChar w:fldCharType="begin">
          <w:fldData xml:space="preserve">PEVuZE5vdGU+PENpdGU+PEF1dGhvcj5OQ1JQPC9BdXRob3I+PFllYXI+MjAxOTwvWWVhcj48UmVj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</w:fldData>
        </w:fldChar>
      </w:r>
      <w:r>
        <w:instrText xml:space="preserve"> ADDIN EN.CITE.DATA </w:instrText>
      </w:r>
      <w:r>
        <w:fldChar w:fldCharType="end"/>
      </w:r>
      <w:r>
        <w:fldChar w:fldCharType="separate"/>
      </w:r>
      <w:r>
        <w:rPr>
          <w:noProof/>
        </w:rPr>
        <w:t>(Hart et al., 2010; UNSCEAR, 2010; European Commission, 2014; NCRP, 2019)</w:t>
      </w:r>
      <w:r>
        <w:fldChar w:fldCharType="end"/>
      </w:r>
      <w:r>
        <w:t>. The six most common types of adult examination were chosen, namely Chest/Thorax, Pelvis &amp; Hip, Abdomen, Lumbar Spine, Cervical Spine and Thoracic Spine. Table 3.1 shows their frequency expressed in terms of examinations per 1,000 population per year. Exposures involving extremities were not considered because of their low contribution to effective dose. The exact projections modelled for each of the examination types are shown in Table 3.2.</w:t>
      </w:r>
    </w:p>
    <w:p w14:paraId="0554BEAC" w14:textId="77777777" w:rsidR="00E72CA9" w:rsidRDefault="00E72CA9">
      <w:pPr>
        <w:pStyle w:val="Annalstext"/>
        <w:tabs>
          <w:tab w:val="clear" w:pos="502"/>
        </w:tabs>
        <w:ind w:left="0" w:firstLine="0"/>
        <w:rPr>
          <w:iCs/>
        </w:rPr>
      </w:pPr>
    </w:p>
    <w:p w14:paraId="1F238E20" w14:textId="77777777" w:rsidR="00E72CA9" w:rsidRDefault="00D516E3">
      <w:pPr>
        <w:pStyle w:val="Annalstext"/>
        <w:tabs>
          <w:tab w:val="clear" w:pos="502"/>
        </w:tabs>
        <w:ind w:left="0" w:firstLine="0"/>
      </w:pPr>
      <w:r>
        <w:t>Table 3.1 Frequency of radiographic examinations per 1000 adult population per year (in decreasing order)</w:t>
      </w:r>
    </w:p>
    <w:tbl>
      <w:tblPr>
        <w:tblW w:w="9026" w:type="dxa"/>
        <w:tblLook w:val="0400" w:firstRow="0" w:lastRow="0" w:firstColumn="0" w:lastColumn="0" w:noHBand="0" w:noVBand="1"/>
      </w:tblPr>
      <w:tblGrid>
        <w:gridCol w:w="3224"/>
        <w:gridCol w:w="1368"/>
        <w:gridCol w:w="1667"/>
        <w:gridCol w:w="1261"/>
        <w:gridCol w:w="1506"/>
      </w:tblGrid>
      <w:tr w:rsidR="00E72CA9" w14:paraId="6F624475" w14:textId="77777777">
        <w:trPr>
          <w:trHeight w:val="323"/>
        </w:trPr>
        <w:tc>
          <w:tcPr>
            <w:tcW w:w="3224" w:type="dxa"/>
            <w:tcBorders>
              <w:top w:val="single" w:sz="4" w:space="0" w:color="auto"/>
              <w:bottom w:val="single" w:sz="4" w:space="0" w:color="auto"/>
            </w:tcBorders>
            <w:shd w:val="clear" w:color="auto" w:fill="auto"/>
            <w:vAlign w:val="bottom"/>
          </w:tcPr>
          <w:p w14:paraId="32101999" w14:textId="77777777" w:rsidR="00E72CA9" w:rsidRDefault="00D516E3">
            <w:r>
              <w:t>Examination Type</w:t>
            </w:r>
          </w:p>
        </w:tc>
        <w:tc>
          <w:tcPr>
            <w:tcW w:w="1368" w:type="dxa"/>
            <w:tcBorders>
              <w:top w:val="single" w:sz="4" w:space="0" w:color="auto"/>
              <w:bottom w:val="single" w:sz="4" w:space="0" w:color="auto"/>
            </w:tcBorders>
            <w:shd w:val="clear" w:color="auto" w:fill="auto"/>
            <w:vAlign w:val="bottom"/>
          </w:tcPr>
          <w:p w14:paraId="2EB2D05C" w14:textId="77777777" w:rsidR="00E72CA9" w:rsidRDefault="00D516E3">
            <w:pPr>
              <w:rPr>
                <w:lang w:eastAsia="ja-JP"/>
              </w:rPr>
            </w:pPr>
            <w:r>
              <w:t>UK</w:t>
            </w:r>
            <w:r>
              <w:rPr>
                <w:vertAlign w:val="superscript"/>
              </w:rPr>
              <w:t>*</w:t>
            </w:r>
          </w:p>
        </w:tc>
        <w:tc>
          <w:tcPr>
            <w:tcW w:w="1667" w:type="dxa"/>
            <w:tcBorders>
              <w:top w:val="single" w:sz="4" w:space="0" w:color="auto"/>
              <w:bottom w:val="single" w:sz="4" w:space="0" w:color="auto"/>
            </w:tcBorders>
            <w:shd w:val="clear" w:color="auto" w:fill="auto"/>
            <w:vAlign w:val="bottom"/>
          </w:tcPr>
          <w:p w14:paraId="1CF021BB" w14:textId="77777777" w:rsidR="00E72CA9" w:rsidRDefault="00D516E3">
            <w:r>
              <w:t>European Average</w:t>
            </w:r>
            <w:r>
              <w:rPr>
                <w:vertAlign w:val="superscript"/>
              </w:rPr>
              <w:t>†</w:t>
            </w:r>
          </w:p>
        </w:tc>
        <w:tc>
          <w:tcPr>
            <w:tcW w:w="1261" w:type="dxa"/>
            <w:tcBorders>
              <w:top w:val="single" w:sz="4" w:space="0" w:color="auto"/>
              <w:bottom w:val="single" w:sz="4" w:space="0" w:color="auto"/>
            </w:tcBorders>
            <w:vAlign w:val="bottom"/>
          </w:tcPr>
          <w:p w14:paraId="434AC146" w14:textId="77777777" w:rsidR="00E72CA9" w:rsidRDefault="00D516E3">
            <w:r>
              <w:t xml:space="preserve">United </w:t>
            </w:r>
            <w:proofErr w:type="spellStart"/>
            <w:r>
              <w:t>States</w:t>
            </w:r>
            <w:r>
              <w:rPr>
                <w:vertAlign w:val="superscript"/>
              </w:rPr>
              <w:t>ǂ</w:t>
            </w:r>
            <w:proofErr w:type="spellEnd"/>
          </w:p>
        </w:tc>
        <w:tc>
          <w:tcPr>
            <w:tcW w:w="1506" w:type="dxa"/>
            <w:tcBorders>
              <w:top w:val="single" w:sz="4" w:space="0" w:color="auto"/>
              <w:bottom w:val="single" w:sz="4" w:space="0" w:color="auto"/>
            </w:tcBorders>
            <w:shd w:val="clear" w:color="auto" w:fill="auto"/>
            <w:vAlign w:val="bottom"/>
          </w:tcPr>
          <w:p w14:paraId="25E57911" w14:textId="77777777" w:rsidR="00E72CA9" w:rsidRDefault="00D516E3">
            <w:r>
              <w:t>UNSCEAR HCL 1</w:t>
            </w:r>
            <w:r>
              <w:rPr>
                <w:vertAlign w:val="superscript"/>
              </w:rPr>
              <w:t>§</w:t>
            </w:r>
          </w:p>
        </w:tc>
      </w:tr>
      <w:tr w:rsidR="00E72CA9" w14:paraId="3EB01484" w14:textId="77777777">
        <w:trPr>
          <w:trHeight w:val="20"/>
        </w:trPr>
        <w:tc>
          <w:tcPr>
            <w:tcW w:w="3224" w:type="dxa"/>
            <w:tcBorders>
              <w:top w:val="single" w:sz="4" w:space="0" w:color="auto"/>
            </w:tcBorders>
            <w:shd w:val="clear" w:color="auto" w:fill="auto"/>
            <w:vAlign w:val="bottom"/>
          </w:tcPr>
          <w:p w14:paraId="27E9410E" w14:textId="77777777" w:rsidR="00E72CA9" w:rsidRDefault="00D516E3">
            <w:pPr>
              <w:ind w:left="192"/>
            </w:pPr>
            <w:r>
              <w:t>Chest/ Thorax</w:t>
            </w:r>
          </w:p>
        </w:tc>
        <w:tc>
          <w:tcPr>
            <w:tcW w:w="1368" w:type="dxa"/>
            <w:tcBorders>
              <w:top w:val="single" w:sz="4" w:space="0" w:color="auto"/>
            </w:tcBorders>
            <w:shd w:val="clear" w:color="auto" w:fill="auto"/>
            <w:vAlign w:val="bottom"/>
          </w:tcPr>
          <w:p w14:paraId="3A717600" w14:textId="77777777" w:rsidR="00E72CA9" w:rsidRDefault="00D516E3">
            <w:r>
              <w:t>146.7</w:t>
            </w:r>
          </w:p>
        </w:tc>
        <w:tc>
          <w:tcPr>
            <w:tcW w:w="1667" w:type="dxa"/>
            <w:tcBorders>
              <w:top w:val="single" w:sz="4" w:space="0" w:color="auto"/>
            </w:tcBorders>
            <w:shd w:val="clear" w:color="auto" w:fill="auto"/>
            <w:vAlign w:val="bottom"/>
          </w:tcPr>
          <w:p w14:paraId="2DC8B585" w14:textId="77777777" w:rsidR="00E72CA9" w:rsidRDefault="00D516E3">
            <w:r>
              <w:t>194</w:t>
            </w:r>
          </w:p>
        </w:tc>
        <w:tc>
          <w:tcPr>
            <w:tcW w:w="1261" w:type="dxa"/>
            <w:tcBorders>
              <w:top w:val="single" w:sz="4" w:space="0" w:color="auto"/>
            </w:tcBorders>
            <w:vAlign w:val="bottom"/>
          </w:tcPr>
          <w:p w14:paraId="07E868CA" w14:textId="77777777" w:rsidR="00E72CA9" w:rsidRDefault="00D516E3">
            <w:pPr>
              <w:ind w:left="44"/>
            </w:pPr>
            <w:r>
              <w:rPr>
                <w:color w:val="000000"/>
              </w:rPr>
              <w:t>341.8</w:t>
            </w:r>
          </w:p>
        </w:tc>
        <w:tc>
          <w:tcPr>
            <w:tcW w:w="1506" w:type="dxa"/>
            <w:tcBorders>
              <w:top w:val="single" w:sz="4" w:space="0" w:color="auto"/>
            </w:tcBorders>
            <w:shd w:val="clear" w:color="auto" w:fill="auto"/>
            <w:vAlign w:val="bottom"/>
          </w:tcPr>
          <w:p w14:paraId="7A08CD12" w14:textId="77777777" w:rsidR="00E72CA9" w:rsidRDefault="00D516E3">
            <w:r>
              <w:t>168</w:t>
            </w:r>
          </w:p>
        </w:tc>
      </w:tr>
      <w:tr w:rsidR="00E72CA9" w14:paraId="3BD3AAB7" w14:textId="77777777">
        <w:trPr>
          <w:trHeight w:val="20"/>
        </w:trPr>
        <w:tc>
          <w:tcPr>
            <w:tcW w:w="3224" w:type="dxa"/>
            <w:shd w:val="clear" w:color="auto" w:fill="auto"/>
            <w:vAlign w:val="bottom"/>
          </w:tcPr>
          <w:p w14:paraId="040FD1DD" w14:textId="77777777" w:rsidR="00E72CA9" w:rsidRDefault="00D516E3">
            <w:pPr>
              <w:ind w:left="197"/>
            </w:pPr>
            <w:r>
              <w:t>Pelvis &amp; hip</w:t>
            </w:r>
          </w:p>
        </w:tc>
        <w:tc>
          <w:tcPr>
            <w:tcW w:w="1368" w:type="dxa"/>
            <w:shd w:val="clear" w:color="auto" w:fill="auto"/>
            <w:vAlign w:val="bottom"/>
          </w:tcPr>
          <w:p w14:paraId="6DF2D0D1" w14:textId="77777777" w:rsidR="00E72CA9" w:rsidRDefault="00D516E3">
            <w:pPr>
              <w:ind w:left="126"/>
            </w:pPr>
            <w:r>
              <w:t>39.0</w:t>
            </w:r>
          </w:p>
        </w:tc>
        <w:tc>
          <w:tcPr>
            <w:tcW w:w="1667" w:type="dxa"/>
            <w:shd w:val="clear" w:color="auto" w:fill="auto"/>
            <w:vAlign w:val="bottom"/>
          </w:tcPr>
          <w:p w14:paraId="1741D159" w14:textId="77777777" w:rsidR="00E72CA9" w:rsidRDefault="00D516E3">
            <w:r>
              <w:t xml:space="preserve">  48.7</w:t>
            </w:r>
          </w:p>
        </w:tc>
        <w:tc>
          <w:tcPr>
            <w:tcW w:w="1261" w:type="dxa"/>
            <w:vAlign w:val="bottom"/>
          </w:tcPr>
          <w:p w14:paraId="5308FAB4" w14:textId="77777777" w:rsidR="00E72CA9" w:rsidRDefault="00D516E3">
            <w:pPr>
              <w:ind w:left="170"/>
            </w:pPr>
            <w:r>
              <w:rPr>
                <w:color w:val="000000"/>
              </w:rPr>
              <w:t>63.2</w:t>
            </w:r>
          </w:p>
        </w:tc>
        <w:tc>
          <w:tcPr>
            <w:tcW w:w="1506" w:type="dxa"/>
            <w:shd w:val="clear" w:color="auto" w:fill="auto"/>
            <w:vAlign w:val="bottom"/>
          </w:tcPr>
          <w:p w14:paraId="1A86AE26" w14:textId="77777777" w:rsidR="00E72CA9" w:rsidRDefault="00D516E3">
            <w:r>
              <w:t xml:space="preserve">  40</w:t>
            </w:r>
          </w:p>
        </w:tc>
      </w:tr>
      <w:tr w:rsidR="00E72CA9" w14:paraId="08C25219" w14:textId="77777777">
        <w:trPr>
          <w:trHeight w:val="20"/>
        </w:trPr>
        <w:tc>
          <w:tcPr>
            <w:tcW w:w="3224" w:type="dxa"/>
            <w:shd w:val="clear" w:color="auto" w:fill="auto"/>
            <w:vAlign w:val="bottom"/>
          </w:tcPr>
          <w:p w14:paraId="42491030" w14:textId="77777777" w:rsidR="00E72CA9" w:rsidRDefault="00D516E3">
            <w:pPr>
              <w:ind w:left="175"/>
            </w:pPr>
            <w:r>
              <w:t>Abdomen</w:t>
            </w:r>
          </w:p>
        </w:tc>
        <w:tc>
          <w:tcPr>
            <w:tcW w:w="1368" w:type="dxa"/>
            <w:shd w:val="clear" w:color="auto" w:fill="auto"/>
            <w:vAlign w:val="bottom"/>
          </w:tcPr>
          <w:p w14:paraId="07FED5E3" w14:textId="77777777" w:rsidR="00E72CA9" w:rsidRDefault="00D516E3">
            <w:pPr>
              <w:ind w:left="126"/>
            </w:pPr>
            <w:r>
              <w:t>20.1</w:t>
            </w:r>
          </w:p>
        </w:tc>
        <w:tc>
          <w:tcPr>
            <w:tcW w:w="1667" w:type="dxa"/>
            <w:shd w:val="clear" w:color="auto" w:fill="auto"/>
            <w:vAlign w:val="bottom"/>
          </w:tcPr>
          <w:p w14:paraId="56600DC6" w14:textId="77777777" w:rsidR="00E72CA9" w:rsidRDefault="00D516E3">
            <w:r>
              <w:t xml:space="preserve">  22.5</w:t>
            </w:r>
          </w:p>
        </w:tc>
        <w:tc>
          <w:tcPr>
            <w:tcW w:w="1261" w:type="dxa"/>
            <w:vAlign w:val="bottom"/>
          </w:tcPr>
          <w:p w14:paraId="3DFD5A7E" w14:textId="77777777" w:rsidR="00E72CA9" w:rsidRDefault="00D516E3">
            <w:pPr>
              <w:ind w:left="164"/>
            </w:pPr>
            <w:r>
              <w:rPr>
                <w:color w:val="000000"/>
              </w:rPr>
              <w:t>37.9</w:t>
            </w:r>
          </w:p>
        </w:tc>
        <w:tc>
          <w:tcPr>
            <w:tcW w:w="1506" w:type="dxa"/>
            <w:shd w:val="clear" w:color="auto" w:fill="auto"/>
            <w:vAlign w:val="bottom"/>
          </w:tcPr>
          <w:p w14:paraId="3B856D63" w14:textId="77777777" w:rsidR="00E72CA9" w:rsidRDefault="00D516E3">
            <w:r>
              <w:t xml:space="preserve">  45</w:t>
            </w:r>
          </w:p>
        </w:tc>
      </w:tr>
      <w:tr w:rsidR="00E72CA9" w14:paraId="7B0697A9" w14:textId="77777777">
        <w:trPr>
          <w:trHeight w:val="20"/>
        </w:trPr>
        <w:tc>
          <w:tcPr>
            <w:tcW w:w="3224" w:type="dxa"/>
            <w:shd w:val="clear" w:color="auto" w:fill="auto"/>
            <w:vAlign w:val="bottom"/>
          </w:tcPr>
          <w:p w14:paraId="21D44879" w14:textId="77777777" w:rsidR="00E72CA9" w:rsidRDefault="00D516E3">
            <w:pPr>
              <w:ind w:left="192"/>
            </w:pPr>
            <w:r>
              <w:t>Lumbar spine (inc. LSJ)</w:t>
            </w:r>
          </w:p>
        </w:tc>
        <w:tc>
          <w:tcPr>
            <w:tcW w:w="1368" w:type="dxa"/>
            <w:shd w:val="clear" w:color="auto" w:fill="auto"/>
            <w:vAlign w:val="bottom"/>
          </w:tcPr>
          <w:p w14:paraId="67ED170E" w14:textId="77777777" w:rsidR="00E72CA9" w:rsidRDefault="00D516E3">
            <w:pPr>
              <w:ind w:left="142"/>
            </w:pPr>
            <w:r>
              <w:t>14.9</w:t>
            </w:r>
          </w:p>
        </w:tc>
        <w:tc>
          <w:tcPr>
            <w:tcW w:w="1667" w:type="dxa"/>
            <w:shd w:val="clear" w:color="auto" w:fill="auto"/>
            <w:vAlign w:val="bottom"/>
          </w:tcPr>
          <w:p w14:paraId="0D9A70C5" w14:textId="77777777" w:rsidR="00E72CA9" w:rsidRDefault="00D516E3">
            <w:r>
              <w:t xml:space="preserve">  33.6</w:t>
            </w:r>
          </w:p>
        </w:tc>
        <w:tc>
          <w:tcPr>
            <w:tcW w:w="1261" w:type="dxa"/>
            <w:vAlign w:val="bottom"/>
          </w:tcPr>
          <w:p w14:paraId="78E4F2A1" w14:textId="77777777" w:rsidR="00E72CA9" w:rsidRDefault="00D516E3">
            <w:pPr>
              <w:ind w:left="132"/>
            </w:pPr>
            <w:r>
              <w:rPr>
                <w:color w:val="000000"/>
              </w:rPr>
              <w:t>34.8</w:t>
            </w:r>
          </w:p>
        </w:tc>
        <w:tc>
          <w:tcPr>
            <w:tcW w:w="1506" w:type="dxa"/>
            <w:shd w:val="clear" w:color="auto" w:fill="auto"/>
            <w:vAlign w:val="bottom"/>
          </w:tcPr>
          <w:p w14:paraId="023D0C1E" w14:textId="77777777" w:rsidR="00E72CA9" w:rsidRDefault="00D516E3">
            <w:r>
              <w:t xml:space="preserve">  31</w:t>
            </w:r>
          </w:p>
        </w:tc>
      </w:tr>
      <w:tr w:rsidR="00E72CA9" w14:paraId="1295206D" w14:textId="77777777">
        <w:trPr>
          <w:trHeight w:val="20"/>
        </w:trPr>
        <w:tc>
          <w:tcPr>
            <w:tcW w:w="3224" w:type="dxa"/>
            <w:shd w:val="clear" w:color="auto" w:fill="auto"/>
            <w:vAlign w:val="bottom"/>
          </w:tcPr>
          <w:p w14:paraId="46F53A83" w14:textId="77777777" w:rsidR="00E72CA9" w:rsidRDefault="00D516E3">
            <w:pPr>
              <w:ind w:left="192"/>
            </w:pPr>
            <w:r>
              <w:t>Cervical spine</w:t>
            </w:r>
          </w:p>
        </w:tc>
        <w:tc>
          <w:tcPr>
            <w:tcW w:w="1368" w:type="dxa"/>
            <w:shd w:val="clear" w:color="auto" w:fill="auto"/>
            <w:vAlign w:val="bottom"/>
          </w:tcPr>
          <w:p w14:paraId="48D297C5" w14:textId="77777777" w:rsidR="00E72CA9" w:rsidRDefault="00D516E3">
            <w:pPr>
              <w:ind w:left="268"/>
            </w:pPr>
            <w:r>
              <w:t>9.3</w:t>
            </w:r>
          </w:p>
        </w:tc>
        <w:tc>
          <w:tcPr>
            <w:tcW w:w="1667" w:type="dxa"/>
            <w:shd w:val="clear" w:color="auto" w:fill="auto"/>
            <w:vAlign w:val="bottom"/>
          </w:tcPr>
          <w:p w14:paraId="521534C9" w14:textId="77777777" w:rsidR="00E72CA9" w:rsidRDefault="00D516E3">
            <w:r>
              <w:t xml:space="preserve">  16.9</w:t>
            </w:r>
          </w:p>
        </w:tc>
        <w:tc>
          <w:tcPr>
            <w:tcW w:w="1261" w:type="dxa"/>
            <w:vAlign w:val="bottom"/>
          </w:tcPr>
          <w:p w14:paraId="1296E328" w14:textId="77777777" w:rsidR="00E72CA9" w:rsidRDefault="00D516E3">
            <w:pPr>
              <w:ind w:left="164"/>
            </w:pPr>
            <w:r>
              <w:rPr>
                <w:color w:val="000000"/>
              </w:rPr>
              <w:t>15.1</w:t>
            </w:r>
          </w:p>
        </w:tc>
        <w:tc>
          <w:tcPr>
            <w:tcW w:w="1506" w:type="dxa"/>
            <w:shd w:val="clear" w:color="auto" w:fill="auto"/>
            <w:vAlign w:val="bottom"/>
          </w:tcPr>
          <w:p w14:paraId="41952ABB" w14:textId="77777777" w:rsidR="00E72CA9" w:rsidRDefault="00D516E3">
            <w:r>
              <w:t xml:space="preserve">  32</w:t>
            </w:r>
          </w:p>
        </w:tc>
      </w:tr>
      <w:tr w:rsidR="00E72CA9" w14:paraId="57890201" w14:textId="77777777">
        <w:trPr>
          <w:trHeight w:val="20"/>
        </w:trPr>
        <w:tc>
          <w:tcPr>
            <w:tcW w:w="3224" w:type="dxa"/>
            <w:tcBorders>
              <w:bottom w:val="single" w:sz="4" w:space="0" w:color="auto"/>
            </w:tcBorders>
            <w:shd w:val="clear" w:color="auto" w:fill="auto"/>
            <w:vAlign w:val="bottom"/>
          </w:tcPr>
          <w:p w14:paraId="7E09BCED" w14:textId="77777777" w:rsidR="00E72CA9" w:rsidRDefault="00D516E3">
            <w:pPr>
              <w:ind w:left="181"/>
            </w:pPr>
            <w:r>
              <w:t>Thoracic spine</w:t>
            </w:r>
          </w:p>
        </w:tc>
        <w:tc>
          <w:tcPr>
            <w:tcW w:w="1368" w:type="dxa"/>
            <w:tcBorders>
              <w:bottom w:val="single" w:sz="4" w:space="0" w:color="auto"/>
            </w:tcBorders>
            <w:shd w:val="clear" w:color="auto" w:fill="auto"/>
            <w:vAlign w:val="bottom"/>
          </w:tcPr>
          <w:p w14:paraId="56A1CD4D" w14:textId="77777777" w:rsidR="00E72CA9" w:rsidRDefault="00D516E3">
            <w:pPr>
              <w:ind w:left="268"/>
            </w:pPr>
            <w:r>
              <w:t>4.4</w:t>
            </w:r>
          </w:p>
        </w:tc>
        <w:tc>
          <w:tcPr>
            <w:tcW w:w="1667" w:type="dxa"/>
            <w:tcBorders>
              <w:bottom w:val="single" w:sz="4" w:space="0" w:color="auto"/>
            </w:tcBorders>
            <w:shd w:val="clear" w:color="auto" w:fill="auto"/>
            <w:vAlign w:val="bottom"/>
          </w:tcPr>
          <w:p w14:paraId="184DF0E5" w14:textId="77777777" w:rsidR="00E72CA9" w:rsidRDefault="00D516E3">
            <w:r>
              <w:t xml:space="preserve">    9.8</w:t>
            </w:r>
          </w:p>
        </w:tc>
        <w:tc>
          <w:tcPr>
            <w:tcW w:w="1261" w:type="dxa"/>
            <w:tcBorders>
              <w:bottom w:val="single" w:sz="4" w:space="0" w:color="auto"/>
            </w:tcBorders>
            <w:vAlign w:val="bottom"/>
          </w:tcPr>
          <w:p w14:paraId="011F4694" w14:textId="77777777" w:rsidR="00E72CA9" w:rsidRDefault="00D516E3">
            <w:pPr>
              <w:ind w:left="186"/>
            </w:pPr>
            <w:r>
              <w:rPr>
                <w:color w:val="000000"/>
              </w:rPr>
              <w:t xml:space="preserve">  7.8</w:t>
            </w:r>
          </w:p>
        </w:tc>
        <w:tc>
          <w:tcPr>
            <w:tcW w:w="1506" w:type="dxa"/>
            <w:tcBorders>
              <w:bottom w:val="single" w:sz="4" w:space="0" w:color="auto"/>
            </w:tcBorders>
            <w:shd w:val="clear" w:color="auto" w:fill="auto"/>
            <w:vAlign w:val="bottom"/>
          </w:tcPr>
          <w:p w14:paraId="27E356E3" w14:textId="77777777" w:rsidR="00E72CA9" w:rsidRDefault="00D516E3">
            <w:r>
              <w:t xml:space="preserve">  16</w:t>
            </w:r>
          </w:p>
        </w:tc>
      </w:tr>
    </w:tbl>
    <w:p w14:paraId="3E1EC6E7" w14:textId="77777777" w:rsidR="00E72CA9" w:rsidRDefault="00D516E3">
      <w:pPr>
        <w:pStyle w:val="Annalstext"/>
        <w:tabs>
          <w:tab w:val="clear" w:pos="502"/>
        </w:tabs>
        <w:ind w:left="0" w:firstLine="0"/>
        <w:rPr>
          <w:iCs/>
          <w:sz w:val="20"/>
        </w:rPr>
      </w:pPr>
      <w:r>
        <w:rPr>
          <w:iCs/>
          <w:sz w:val="20"/>
        </w:rPr>
        <w:t>LSJ, Lumbar-Sacral Joint; HCL, Health Care Level.</w:t>
      </w:r>
    </w:p>
    <w:p w14:paraId="3DC168AE" w14:textId="77777777" w:rsidR="00E72CA9" w:rsidRDefault="00D516E3">
      <w:pPr>
        <w:pStyle w:val="Annalstext"/>
        <w:tabs>
          <w:tab w:val="clear" w:pos="502"/>
        </w:tabs>
        <w:ind w:left="0" w:firstLine="0"/>
        <w:rPr>
          <w:sz w:val="20"/>
        </w:rPr>
      </w:pPr>
      <w:r>
        <w:rPr>
          <w:sz w:val="20"/>
          <w:vertAlign w:val="superscript"/>
        </w:rPr>
        <w:t xml:space="preserve">* </w:t>
      </w:r>
      <w:r>
        <w:rPr>
          <w:sz w:val="20"/>
        </w:rPr>
        <w:t>Hart et al., 2010.</w:t>
      </w:r>
    </w:p>
    <w:p w14:paraId="3FD9B01B" w14:textId="77777777" w:rsidR="00E72CA9" w:rsidRDefault="00D516E3">
      <w:pPr>
        <w:pStyle w:val="Annalstext"/>
        <w:tabs>
          <w:tab w:val="clear" w:pos="502"/>
        </w:tabs>
        <w:ind w:left="0" w:firstLine="0"/>
        <w:rPr>
          <w:sz w:val="20"/>
        </w:rPr>
      </w:pPr>
      <w:r>
        <w:rPr>
          <w:sz w:val="20"/>
          <w:vertAlign w:val="superscript"/>
        </w:rPr>
        <w:t xml:space="preserve">† </w:t>
      </w:r>
      <w:r>
        <w:rPr>
          <w:sz w:val="20"/>
        </w:rPr>
        <w:t>European Commission, 2014.</w:t>
      </w:r>
    </w:p>
    <w:p w14:paraId="1D45CDEF" w14:textId="77777777" w:rsidR="00E72CA9" w:rsidRDefault="00D516E3">
      <w:pPr>
        <w:pStyle w:val="Annalstext"/>
        <w:tabs>
          <w:tab w:val="clear" w:pos="502"/>
        </w:tabs>
        <w:ind w:left="0" w:firstLine="0"/>
        <w:rPr>
          <w:sz w:val="20"/>
        </w:rPr>
      </w:pPr>
      <w:r>
        <w:rPr>
          <w:sz w:val="20"/>
          <w:vertAlign w:val="superscript"/>
        </w:rPr>
        <w:t xml:space="preserve">ǂ </w:t>
      </w:r>
      <w:r>
        <w:rPr>
          <w:sz w:val="20"/>
        </w:rPr>
        <w:t xml:space="preserve">NCRP, 2019. </w:t>
      </w:r>
    </w:p>
    <w:p w14:paraId="19FA004D" w14:textId="77777777" w:rsidR="00E72CA9" w:rsidRDefault="00D516E3">
      <w:pPr>
        <w:pStyle w:val="Annalstext"/>
        <w:tabs>
          <w:tab w:val="clear" w:pos="502"/>
        </w:tabs>
        <w:ind w:left="0" w:firstLine="0"/>
        <w:rPr>
          <w:iCs/>
          <w:sz w:val="20"/>
        </w:rPr>
      </w:pPr>
      <w:r>
        <w:rPr>
          <w:sz w:val="20"/>
          <w:vertAlign w:val="superscript"/>
        </w:rPr>
        <w:t xml:space="preserve">§ </w:t>
      </w:r>
      <w:r>
        <w:rPr>
          <w:sz w:val="20"/>
        </w:rPr>
        <w:t>UNSCEAR, 2010.</w:t>
      </w:r>
    </w:p>
    <w:p w14:paraId="26EA3F79" w14:textId="77777777" w:rsidR="00E72CA9" w:rsidRDefault="00E72CA9">
      <w:pPr>
        <w:pStyle w:val="Annalstext"/>
        <w:tabs>
          <w:tab w:val="clear" w:pos="502"/>
        </w:tabs>
        <w:ind w:left="0" w:firstLine="0"/>
        <w:rPr>
          <w:iCs/>
        </w:rPr>
      </w:pPr>
    </w:p>
    <w:p w14:paraId="0391D2F6" w14:textId="77777777" w:rsidR="00E72CA9" w:rsidRDefault="00E72CA9">
      <w:pPr>
        <w:pStyle w:val="Annalstext"/>
        <w:tabs>
          <w:tab w:val="clear" w:pos="502"/>
        </w:tabs>
        <w:ind w:left="0" w:firstLine="0"/>
        <w:rPr>
          <w:iCs/>
        </w:rPr>
      </w:pPr>
    </w:p>
    <w:p w14:paraId="0C56DE38" w14:textId="77777777" w:rsidR="00E72CA9" w:rsidRDefault="00D516E3">
      <w:pPr>
        <w:pStyle w:val="Annalstext"/>
        <w:tabs>
          <w:tab w:val="clear" w:pos="502"/>
        </w:tabs>
        <w:ind w:left="0" w:firstLine="0"/>
        <w:rPr>
          <w:iCs/>
        </w:rPr>
      </w:pPr>
      <w:r>
        <w:rPr>
          <w:iCs/>
        </w:rPr>
        <w:t>Table 3.2 Adult projections modelled.</w:t>
      </w:r>
    </w:p>
    <w:tbl>
      <w:tblPr>
        <w:tblW w:w="0" w:type="auto"/>
        <w:tblLook w:val="04A0" w:firstRow="1" w:lastRow="0" w:firstColumn="1" w:lastColumn="0" w:noHBand="0" w:noVBand="1"/>
      </w:tblPr>
      <w:tblGrid>
        <w:gridCol w:w="4508"/>
        <w:gridCol w:w="4508"/>
      </w:tblGrid>
      <w:tr w:rsidR="00E72CA9" w14:paraId="034A5B19" w14:textId="77777777">
        <w:trPr>
          <w:trHeight w:val="241"/>
        </w:trPr>
        <w:tc>
          <w:tcPr>
            <w:tcW w:w="4508" w:type="dxa"/>
            <w:tcBorders>
              <w:top w:val="single" w:sz="4" w:space="0" w:color="auto"/>
              <w:bottom w:val="single" w:sz="4" w:space="0" w:color="auto"/>
            </w:tcBorders>
            <w:shd w:val="clear" w:color="auto" w:fill="auto"/>
            <w:vAlign w:val="bottom"/>
          </w:tcPr>
          <w:p w14:paraId="7B97BC51" w14:textId="77777777" w:rsidR="00E72CA9" w:rsidRDefault="00D516E3">
            <w:pPr>
              <w:rPr>
                <w:bCs/>
              </w:rPr>
            </w:pPr>
            <w:r>
              <w:rPr>
                <w:bCs/>
              </w:rPr>
              <w:t>Examination Type</w:t>
            </w:r>
          </w:p>
        </w:tc>
        <w:tc>
          <w:tcPr>
            <w:tcW w:w="4508" w:type="dxa"/>
            <w:tcBorders>
              <w:top w:val="single" w:sz="4" w:space="0" w:color="auto"/>
              <w:bottom w:val="single" w:sz="4" w:space="0" w:color="auto"/>
            </w:tcBorders>
            <w:shd w:val="clear" w:color="auto" w:fill="auto"/>
            <w:vAlign w:val="bottom"/>
          </w:tcPr>
          <w:p w14:paraId="0720758D" w14:textId="77777777" w:rsidR="00E72CA9" w:rsidRDefault="00D516E3">
            <w:pPr>
              <w:rPr>
                <w:bCs/>
              </w:rPr>
            </w:pPr>
            <w:r>
              <w:rPr>
                <w:bCs/>
              </w:rPr>
              <w:t>Projections Modelled</w:t>
            </w:r>
          </w:p>
        </w:tc>
      </w:tr>
      <w:tr w:rsidR="00E72CA9" w14:paraId="6D9465B2" w14:textId="77777777">
        <w:tc>
          <w:tcPr>
            <w:tcW w:w="4508" w:type="dxa"/>
            <w:tcBorders>
              <w:top w:val="single" w:sz="4" w:space="0" w:color="auto"/>
            </w:tcBorders>
            <w:shd w:val="clear" w:color="auto" w:fill="auto"/>
          </w:tcPr>
          <w:p w14:paraId="56957C63" w14:textId="77777777" w:rsidR="00E72CA9" w:rsidRDefault="00D516E3">
            <w:r>
              <w:t>Chest/ Thorax</w:t>
            </w:r>
          </w:p>
        </w:tc>
        <w:tc>
          <w:tcPr>
            <w:tcW w:w="4508" w:type="dxa"/>
            <w:tcBorders>
              <w:top w:val="single" w:sz="4" w:space="0" w:color="auto"/>
            </w:tcBorders>
            <w:shd w:val="clear" w:color="auto" w:fill="auto"/>
          </w:tcPr>
          <w:p w14:paraId="3FD1C58C" w14:textId="77777777" w:rsidR="00E72CA9" w:rsidRDefault="00D516E3">
            <w:r>
              <w:t>PA, AP, Left &amp; Right Lat</w:t>
            </w:r>
          </w:p>
        </w:tc>
      </w:tr>
      <w:tr w:rsidR="00E72CA9" w14:paraId="2015CFEA" w14:textId="77777777">
        <w:tc>
          <w:tcPr>
            <w:tcW w:w="4508" w:type="dxa"/>
            <w:shd w:val="clear" w:color="auto" w:fill="auto"/>
          </w:tcPr>
          <w:p w14:paraId="710E55B2" w14:textId="77777777" w:rsidR="00E72CA9" w:rsidRDefault="00D516E3">
            <w:r>
              <w:t>Pelvis &amp; hip</w:t>
            </w:r>
          </w:p>
        </w:tc>
        <w:tc>
          <w:tcPr>
            <w:tcW w:w="4508" w:type="dxa"/>
            <w:shd w:val="clear" w:color="auto" w:fill="auto"/>
          </w:tcPr>
          <w:p w14:paraId="4DFA8D91" w14:textId="77777777" w:rsidR="00E72CA9" w:rsidRDefault="00D516E3">
            <w:r>
              <w:t xml:space="preserve">AP </w:t>
            </w:r>
          </w:p>
        </w:tc>
      </w:tr>
      <w:tr w:rsidR="00E72CA9" w14:paraId="7C7F65BD" w14:textId="77777777">
        <w:tc>
          <w:tcPr>
            <w:tcW w:w="4508" w:type="dxa"/>
            <w:shd w:val="clear" w:color="auto" w:fill="auto"/>
          </w:tcPr>
          <w:p w14:paraId="7FD60E7C" w14:textId="77777777" w:rsidR="00E72CA9" w:rsidRDefault="00D516E3">
            <w:r>
              <w:t>Abdomen</w:t>
            </w:r>
          </w:p>
        </w:tc>
        <w:tc>
          <w:tcPr>
            <w:tcW w:w="4508" w:type="dxa"/>
            <w:shd w:val="clear" w:color="auto" w:fill="auto"/>
          </w:tcPr>
          <w:p w14:paraId="51F69A04" w14:textId="77777777" w:rsidR="00E72CA9" w:rsidRDefault="00D516E3">
            <w:r>
              <w:t xml:space="preserve">AP </w:t>
            </w:r>
          </w:p>
        </w:tc>
      </w:tr>
      <w:tr w:rsidR="00E72CA9" w14:paraId="6067AF48" w14:textId="77777777">
        <w:tc>
          <w:tcPr>
            <w:tcW w:w="4508" w:type="dxa"/>
            <w:shd w:val="clear" w:color="auto" w:fill="auto"/>
          </w:tcPr>
          <w:p w14:paraId="3E6EFF24" w14:textId="77777777" w:rsidR="00E72CA9" w:rsidRDefault="00D516E3">
            <w:r>
              <w:t>Lumbar spine (inc. LSJ)</w:t>
            </w:r>
          </w:p>
        </w:tc>
        <w:tc>
          <w:tcPr>
            <w:tcW w:w="4508" w:type="dxa"/>
            <w:shd w:val="clear" w:color="auto" w:fill="auto"/>
          </w:tcPr>
          <w:p w14:paraId="433EEF1B" w14:textId="77777777" w:rsidR="00E72CA9" w:rsidRDefault="00D516E3">
            <w:r>
              <w:t xml:space="preserve">AP, </w:t>
            </w:r>
            <w:proofErr w:type="spellStart"/>
            <w:r>
              <w:t>LLat</w:t>
            </w:r>
            <w:proofErr w:type="spellEnd"/>
            <w:r>
              <w:t xml:space="preserve">, </w:t>
            </w:r>
            <w:proofErr w:type="spellStart"/>
            <w:r>
              <w:t>RLat</w:t>
            </w:r>
            <w:proofErr w:type="spellEnd"/>
            <w:r>
              <w:t>, RObl</w:t>
            </w:r>
          </w:p>
        </w:tc>
      </w:tr>
      <w:tr w:rsidR="00E72CA9" w14:paraId="1D045D80" w14:textId="77777777">
        <w:tc>
          <w:tcPr>
            <w:tcW w:w="4508" w:type="dxa"/>
            <w:shd w:val="clear" w:color="auto" w:fill="auto"/>
          </w:tcPr>
          <w:p w14:paraId="04BC3A25" w14:textId="77777777" w:rsidR="00E72CA9" w:rsidRDefault="00D516E3">
            <w:r>
              <w:t>Cervical spine</w:t>
            </w:r>
          </w:p>
        </w:tc>
        <w:tc>
          <w:tcPr>
            <w:tcW w:w="4508" w:type="dxa"/>
            <w:shd w:val="clear" w:color="auto" w:fill="auto"/>
          </w:tcPr>
          <w:p w14:paraId="440F60E0" w14:textId="77777777" w:rsidR="00E72CA9" w:rsidRDefault="00D516E3">
            <w:r>
              <w:t>AP, LLat, RLat</w:t>
            </w:r>
          </w:p>
        </w:tc>
      </w:tr>
      <w:tr w:rsidR="00E72CA9" w14:paraId="79171D25" w14:textId="77777777">
        <w:trPr>
          <w:trHeight w:val="80"/>
        </w:trPr>
        <w:tc>
          <w:tcPr>
            <w:tcW w:w="4508" w:type="dxa"/>
            <w:tcBorders>
              <w:bottom w:val="single" w:sz="4" w:space="0" w:color="auto"/>
            </w:tcBorders>
            <w:shd w:val="clear" w:color="auto" w:fill="auto"/>
          </w:tcPr>
          <w:p w14:paraId="4B83AF19" w14:textId="77777777" w:rsidR="00E72CA9" w:rsidRDefault="00D516E3">
            <w:r>
              <w:t>Thoracic spine</w:t>
            </w:r>
          </w:p>
        </w:tc>
        <w:tc>
          <w:tcPr>
            <w:tcW w:w="4508" w:type="dxa"/>
            <w:tcBorders>
              <w:bottom w:val="single" w:sz="4" w:space="0" w:color="auto"/>
            </w:tcBorders>
            <w:shd w:val="clear" w:color="auto" w:fill="auto"/>
          </w:tcPr>
          <w:p w14:paraId="15E12362" w14:textId="77777777" w:rsidR="00E72CA9" w:rsidRDefault="00D516E3">
            <w:r>
              <w:t>AP, RLat, LLat</w:t>
            </w:r>
          </w:p>
        </w:tc>
      </w:tr>
    </w:tbl>
    <w:p w14:paraId="06C61DA4" w14:textId="77777777" w:rsidR="00E72CA9" w:rsidRDefault="00D516E3">
      <w:pPr>
        <w:pStyle w:val="Annalstext"/>
        <w:tabs>
          <w:tab w:val="clear" w:pos="502"/>
        </w:tabs>
        <w:ind w:left="0" w:firstLine="0"/>
        <w:rPr>
          <w:iCs/>
          <w:sz w:val="20"/>
        </w:rPr>
      </w:pPr>
      <w:r>
        <w:rPr>
          <w:sz w:val="20"/>
        </w:rPr>
        <w:t xml:space="preserve">PA, posterior-anterior; AP, anterior-posterior; Lat, </w:t>
      </w:r>
      <w:bookmarkStart w:id="56" w:name="_Hlk158566951"/>
      <w:r>
        <w:rPr>
          <w:sz w:val="20"/>
        </w:rPr>
        <w:t>lateral</w:t>
      </w:r>
      <w:bookmarkEnd w:id="56"/>
      <w:r>
        <w:rPr>
          <w:sz w:val="20"/>
        </w:rPr>
        <w:t xml:space="preserve">; Robl, Right Oblique; </w:t>
      </w:r>
      <w:proofErr w:type="spellStart"/>
      <w:r>
        <w:rPr>
          <w:sz w:val="20"/>
        </w:rPr>
        <w:t>RLat</w:t>
      </w:r>
      <w:proofErr w:type="spellEnd"/>
      <w:r>
        <w:rPr>
          <w:sz w:val="20"/>
        </w:rPr>
        <w:t xml:space="preserve">, Right Lateral; </w:t>
      </w:r>
      <w:proofErr w:type="spellStart"/>
      <w:r>
        <w:rPr>
          <w:sz w:val="20"/>
        </w:rPr>
        <w:t>LLat</w:t>
      </w:r>
      <w:proofErr w:type="spellEnd"/>
      <w:r>
        <w:rPr>
          <w:sz w:val="20"/>
        </w:rPr>
        <w:t xml:space="preserve">, Left Lateral; </w:t>
      </w:r>
      <w:r>
        <w:rPr>
          <w:iCs/>
          <w:sz w:val="20"/>
        </w:rPr>
        <w:t>LSJ, Lumbar-Sacral Joint.</w:t>
      </w:r>
    </w:p>
    <w:p w14:paraId="796BC02A" w14:textId="77777777" w:rsidR="00E72CA9" w:rsidRDefault="00D516E3">
      <w:pPr>
        <w:pStyle w:val="2"/>
      </w:pPr>
      <w:bookmarkStart w:id="57" w:name="_Toc98947852"/>
      <w:bookmarkStart w:id="58" w:name="_Toc111194100"/>
      <w:bookmarkStart w:id="59" w:name="_Toc158293327"/>
      <w:bookmarkStart w:id="60" w:name="_Toc158293653"/>
      <w:bookmarkStart w:id="61" w:name="_Toc165302039"/>
      <w:r>
        <w:t>Projection selection, paediatric radiography</w:t>
      </w:r>
      <w:bookmarkEnd w:id="57"/>
      <w:bookmarkEnd w:id="58"/>
      <w:bookmarkEnd w:id="59"/>
      <w:bookmarkEnd w:id="60"/>
      <w:bookmarkEnd w:id="61"/>
    </w:p>
    <w:p w14:paraId="35B8162D" w14:textId="77777777" w:rsidR="00E72CA9" w:rsidRDefault="00D516E3">
      <w:pPr>
        <w:pStyle w:val="Annalstext"/>
        <w:numPr>
          <w:ilvl w:val="0"/>
          <w:numId w:val="1"/>
        </w:numPr>
        <w:tabs>
          <w:tab w:val="clear" w:pos="644"/>
        </w:tabs>
        <w:spacing w:after="240"/>
        <w:ind w:left="0"/>
      </w:pPr>
      <w:r>
        <w:t>The radiographic projections selected for paediatric radiography were those that were either commonly performed examinations</w:t>
      </w:r>
      <w:r>
        <w:rPr>
          <w:bCs/>
        </w:rPr>
        <w:t xml:space="preserve"> </w:t>
      </w:r>
      <w:r>
        <w:rPr>
          <w:bCs/>
        </w:rPr>
        <w:fldChar w:fldCharType="begin">
          <w:fldData xml:space="preserve">PEVuZE5vdGU+PENpdGU+PEF1dGhvcj5Eb3JmbWFuPC9BdXRob3I+PFllYXI+MjAxMTwvWWVhcj48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</w:fldData>
        </w:fldChar>
      </w:r>
      <w:r>
        <w:rPr>
          <w:bCs/>
        </w:rPr>
        <w:instrText xml:space="preserve"> ADDIN EN.CITE </w:instrText>
      </w:r>
      <w:r>
        <w:rPr>
          <w:bCs/>
        </w:rPr>
        <w:fldChar w:fldCharType="begin">
          <w:fldData xml:space="preserve">PEVuZE5vdGU+PENpdGU+PEF1dGhvcj5Eb3JmbWFuPC9BdXRob3I+PFllYXI+MjAxMTwvWWVhcj48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</w:fldData>
        </w:fldChar>
      </w:r>
      <w:r>
        <w:rPr>
          <w:bCs/>
        </w:rPr>
        <w:instrText xml:space="preserve"> ADDIN EN.CITE.DATA </w:instrText>
      </w:r>
      <w:r>
        <w:rPr>
          <w:bCs/>
        </w:rPr>
      </w:r>
      <w:r>
        <w:rPr>
          <w:bCs/>
        </w:rPr>
        <w:fldChar w:fldCharType="end"/>
      </w:r>
      <w:r>
        <w:rPr>
          <w:bCs/>
        </w:rPr>
      </w:r>
      <w:r>
        <w:rPr>
          <w:bCs/>
        </w:rPr>
        <w:fldChar w:fldCharType="separate"/>
      </w:r>
      <w:r>
        <w:rPr>
          <w:bCs/>
          <w:noProof/>
        </w:rPr>
        <w:t>(Dorfman et al., 2011; EuropeanCommission, 2018)</w:t>
      </w:r>
      <w:r>
        <w:rPr>
          <w:bCs/>
        </w:rPr>
        <w:fldChar w:fldCharType="end"/>
      </w:r>
      <w:r>
        <w:rPr>
          <w:bCs/>
        </w:rPr>
        <w:t xml:space="preserve"> similar to adult radiography, or those that resulted in high exposures or exposures to radiosensitive organs. </w:t>
      </w:r>
      <w:r>
        <w:t xml:space="preserve">Therefore, the skull and scoliosis full-spine radiographs are included because they are both common in infants and children and they expose these patients to higher </w:t>
      </w:r>
      <w:r>
        <w:lastRenderedPageBreak/>
        <w:t>doses than typical single body part exams. In practice, the number of projections for each examination may vary with the age of the infant/child as well as geographic location, available resources, and clinical indication, as with adult radiography. The exact projections modelled are shown in Table 3.3.</w:t>
      </w:r>
    </w:p>
    <w:p w14:paraId="72378D31" w14:textId="77777777" w:rsidR="00E72CA9" w:rsidRDefault="00D516E3">
      <w:pPr>
        <w:pStyle w:val="Annalstext"/>
        <w:tabs>
          <w:tab w:val="clear" w:pos="502"/>
        </w:tabs>
        <w:ind w:left="0" w:firstLine="0"/>
        <w:rPr>
          <w:iCs/>
        </w:rPr>
      </w:pPr>
      <w:r>
        <w:rPr>
          <w:iCs/>
        </w:rPr>
        <w:t>Table 3.3 Paediatric projections modelled.</w:t>
      </w:r>
    </w:p>
    <w:tbl>
      <w:tblPr>
        <w:tblW w:w="0" w:type="auto"/>
        <w:tblLook w:val="04A0" w:firstRow="1" w:lastRow="0" w:firstColumn="1" w:lastColumn="0" w:noHBand="0" w:noVBand="1"/>
      </w:tblPr>
      <w:tblGrid>
        <w:gridCol w:w="4820"/>
        <w:gridCol w:w="4196"/>
      </w:tblGrid>
      <w:tr w:rsidR="00E72CA9" w14:paraId="7C68D1F2" w14:textId="77777777">
        <w:trPr>
          <w:trHeight w:val="279"/>
        </w:trPr>
        <w:tc>
          <w:tcPr>
            <w:tcW w:w="4820" w:type="dxa"/>
            <w:tcBorders>
              <w:top w:val="single" w:sz="4" w:space="0" w:color="auto"/>
              <w:bottom w:val="single" w:sz="4" w:space="0" w:color="auto"/>
            </w:tcBorders>
            <w:shd w:val="clear" w:color="auto" w:fill="auto"/>
          </w:tcPr>
          <w:p w14:paraId="583090A1" w14:textId="77777777" w:rsidR="00E72CA9" w:rsidRDefault="00D516E3">
            <w:pPr>
              <w:rPr>
                <w:bCs/>
              </w:rPr>
            </w:pPr>
            <w:r>
              <w:rPr>
                <w:bCs/>
              </w:rPr>
              <w:t>Examination Type</w:t>
            </w:r>
          </w:p>
        </w:tc>
        <w:tc>
          <w:tcPr>
            <w:tcW w:w="4196" w:type="dxa"/>
            <w:tcBorders>
              <w:top w:val="single" w:sz="4" w:space="0" w:color="auto"/>
              <w:bottom w:val="single" w:sz="4" w:space="0" w:color="auto"/>
            </w:tcBorders>
            <w:shd w:val="clear" w:color="auto" w:fill="auto"/>
          </w:tcPr>
          <w:p w14:paraId="5A2945D5" w14:textId="77777777" w:rsidR="00E72CA9" w:rsidRDefault="00D516E3">
            <w:pPr>
              <w:rPr>
                <w:bCs/>
              </w:rPr>
            </w:pPr>
            <w:r>
              <w:rPr>
                <w:bCs/>
              </w:rPr>
              <w:t>Projections Modelled</w:t>
            </w:r>
          </w:p>
        </w:tc>
      </w:tr>
      <w:tr w:rsidR="00E72CA9" w14:paraId="1FC22F02" w14:textId="77777777">
        <w:tc>
          <w:tcPr>
            <w:tcW w:w="4820" w:type="dxa"/>
            <w:tcBorders>
              <w:top w:val="single" w:sz="4" w:space="0" w:color="auto"/>
            </w:tcBorders>
            <w:shd w:val="clear" w:color="auto" w:fill="auto"/>
          </w:tcPr>
          <w:p w14:paraId="5C4B1B63" w14:textId="77777777" w:rsidR="00E72CA9" w:rsidRDefault="00D516E3">
            <w:r>
              <w:t xml:space="preserve">Chest </w:t>
            </w:r>
          </w:p>
        </w:tc>
        <w:tc>
          <w:tcPr>
            <w:tcW w:w="4196" w:type="dxa"/>
            <w:tcBorders>
              <w:top w:val="single" w:sz="4" w:space="0" w:color="auto"/>
            </w:tcBorders>
            <w:shd w:val="clear" w:color="auto" w:fill="auto"/>
          </w:tcPr>
          <w:p w14:paraId="48668326" w14:textId="77777777" w:rsidR="00E72CA9" w:rsidRDefault="00D516E3">
            <w:r>
              <w:t xml:space="preserve">PA and AP </w:t>
            </w:r>
          </w:p>
        </w:tc>
      </w:tr>
      <w:tr w:rsidR="00E72CA9" w14:paraId="0A37826F" w14:textId="77777777">
        <w:tc>
          <w:tcPr>
            <w:tcW w:w="4820" w:type="dxa"/>
            <w:shd w:val="clear" w:color="auto" w:fill="auto"/>
          </w:tcPr>
          <w:p w14:paraId="77923045" w14:textId="77777777" w:rsidR="00E72CA9" w:rsidRDefault="00D516E3">
            <w:r>
              <w:t xml:space="preserve">Pelvis </w:t>
            </w:r>
          </w:p>
        </w:tc>
        <w:tc>
          <w:tcPr>
            <w:tcW w:w="4196" w:type="dxa"/>
            <w:shd w:val="clear" w:color="auto" w:fill="auto"/>
          </w:tcPr>
          <w:p w14:paraId="3E52D162" w14:textId="77777777" w:rsidR="00E72CA9" w:rsidRDefault="00D516E3">
            <w:r>
              <w:t xml:space="preserve">AP </w:t>
            </w:r>
          </w:p>
        </w:tc>
      </w:tr>
      <w:tr w:rsidR="00E72CA9" w14:paraId="589FF440" w14:textId="77777777">
        <w:tc>
          <w:tcPr>
            <w:tcW w:w="4820" w:type="dxa"/>
            <w:shd w:val="clear" w:color="auto" w:fill="auto"/>
          </w:tcPr>
          <w:p w14:paraId="0E938A09" w14:textId="77777777" w:rsidR="00E72CA9" w:rsidRDefault="00D516E3">
            <w:r>
              <w:t>Abdomen</w:t>
            </w:r>
          </w:p>
        </w:tc>
        <w:tc>
          <w:tcPr>
            <w:tcW w:w="4196" w:type="dxa"/>
            <w:shd w:val="clear" w:color="auto" w:fill="auto"/>
          </w:tcPr>
          <w:p w14:paraId="4D23271A" w14:textId="77777777" w:rsidR="00E72CA9" w:rsidRDefault="00D516E3">
            <w:r>
              <w:t xml:space="preserve">AP </w:t>
            </w:r>
          </w:p>
        </w:tc>
      </w:tr>
      <w:tr w:rsidR="00E72CA9" w14:paraId="3D2681FF" w14:textId="77777777">
        <w:tc>
          <w:tcPr>
            <w:tcW w:w="4820" w:type="dxa"/>
            <w:shd w:val="clear" w:color="auto" w:fill="auto"/>
          </w:tcPr>
          <w:p w14:paraId="0B6A12FF" w14:textId="77777777" w:rsidR="00E72CA9" w:rsidRDefault="00D516E3">
            <w:r>
              <w:t xml:space="preserve">Lumbar Spine </w:t>
            </w:r>
          </w:p>
        </w:tc>
        <w:tc>
          <w:tcPr>
            <w:tcW w:w="4196" w:type="dxa"/>
            <w:shd w:val="clear" w:color="auto" w:fill="auto"/>
          </w:tcPr>
          <w:p w14:paraId="7F6768A5" w14:textId="77777777" w:rsidR="00E72CA9" w:rsidRDefault="00D516E3">
            <w:r>
              <w:t xml:space="preserve">AP, LLat, RLat </w:t>
            </w:r>
          </w:p>
        </w:tc>
      </w:tr>
      <w:tr w:rsidR="00E72CA9" w14:paraId="05C777D0" w14:textId="77777777">
        <w:trPr>
          <w:trHeight w:val="80"/>
        </w:trPr>
        <w:tc>
          <w:tcPr>
            <w:tcW w:w="4820" w:type="dxa"/>
            <w:shd w:val="clear" w:color="auto" w:fill="auto"/>
          </w:tcPr>
          <w:p w14:paraId="0955D773" w14:textId="77777777" w:rsidR="00E72CA9" w:rsidRDefault="00D516E3">
            <w:r>
              <w:t>Thoraco-Lumbar Spine (newborn, 1year only)</w:t>
            </w:r>
          </w:p>
        </w:tc>
        <w:tc>
          <w:tcPr>
            <w:tcW w:w="4196" w:type="dxa"/>
            <w:shd w:val="clear" w:color="auto" w:fill="auto"/>
          </w:tcPr>
          <w:p w14:paraId="3D371904" w14:textId="77777777" w:rsidR="00E72CA9" w:rsidRDefault="00D516E3">
            <w:r>
              <w:t xml:space="preserve">RLat, LLat </w:t>
            </w:r>
          </w:p>
        </w:tc>
      </w:tr>
      <w:tr w:rsidR="00E72CA9" w14:paraId="24B7ABC0" w14:textId="77777777">
        <w:trPr>
          <w:trHeight w:val="80"/>
        </w:trPr>
        <w:tc>
          <w:tcPr>
            <w:tcW w:w="4820" w:type="dxa"/>
            <w:shd w:val="clear" w:color="auto" w:fill="auto"/>
          </w:tcPr>
          <w:p w14:paraId="504C135E" w14:textId="77777777" w:rsidR="00E72CA9" w:rsidRDefault="00D516E3">
            <w:r>
              <w:t xml:space="preserve">Scoliosis </w:t>
            </w:r>
          </w:p>
          <w:p w14:paraId="118FEED1" w14:textId="77777777" w:rsidR="00E72CA9" w:rsidRDefault="00E72CA9"/>
        </w:tc>
        <w:tc>
          <w:tcPr>
            <w:tcW w:w="4196" w:type="dxa"/>
            <w:shd w:val="clear" w:color="auto" w:fill="auto"/>
          </w:tcPr>
          <w:p w14:paraId="59C99075" w14:textId="77777777" w:rsidR="00E72CA9" w:rsidRDefault="00D516E3">
            <w:r>
              <w:t xml:space="preserve">AP (newborn, 1 year only), PA (all other ages), RLat, LLat </w:t>
            </w:r>
          </w:p>
        </w:tc>
      </w:tr>
      <w:tr w:rsidR="00E72CA9" w14:paraId="0D64E57B" w14:textId="77777777">
        <w:trPr>
          <w:trHeight w:val="80"/>
        </w:trPr>
        <w:tc>
          <w:tcPr>
            <w:tcW w:w="4820" w:type="dxa"/>
            <w:tcBorders>
              <w:bottom w:val="single" w:sz="4" w:space="0" w:color="auto"/>
            </w:tcBorders>
            <w:shd w:val="clear" w:color="auto" w:fill="auto"/>
          </w:tcPr>
          <w:p w14:paraId="3544B706" w14:textId="77777777" w:rsidR="00E72CA9" w:rsidRDefault="00D516E3">
            <w:r>
              <w:t>Skull</w:t>
            </w:r>
          </w:p>
        </w:tc>
        <w:tc>
          <w:tcPr>
            <w:tcW w:w="4196" w:type="dxa"/>
            <w:tcBorders>
              <w:bottom w:val="single" w:sz="4" w:space="0" w:color="auto"/>
            </w:tcBorders>
            <w:shd w:val="clear" w:color="auto" w:fill="auto"/>
          </w:tcPr>
          <w:p w14:paraId="282E2597" w14:textId="77777777" w:rsidR="00E72CA9" w:rsidRDefault="00D516E3">
            <w:r>
              <w:t>AP, PA, RLat, LLat</w:t>
            </w:r>
          </w:p>
        </w:tc>
      </w:tr>
    </w:tbl>
    <w:p w14:paraId="72C44811" w14:textId="77777777" w:rsidR="00E72CA9" w:rsidRDefault="00D516E3">
      <w:pPr>
        <w:pStyle w:val="Annalstext"/>
        <w:tabs>
          <w:tab w:val="clear" w:pos="502"/>
        </w:tabs>
        <w:ind w:left="0" w:firstLine="0"/>
        <w:rPr>
          <w:sz w:val="20"/>
        </w:rPr>
      </w:pPr>
      <w:r>
        <w:rPr>
          <w:sz w:val="20"/>
        </w:rPr>
        <w:t>PA, posterior-anterior; AP, anterior-posterior; Lat, lateral; RLat, Right Lateral; LLat, Left Lateral.</w:t>
      </w:r>
    </w:p>
    <w:p w14:paraId="6F0DB0B4" w14:textId="77777777" w:rsidR="00E72CA9" w:rsidRDefault="00D516E3">
      <w:pPr>
        <w:pStyle w:val="2"/>
        <w:rPr>
          <w:i/>
        </w:rPr>
      </w:pPr>
      <w:bookmarkStart w:id="62" w:name="_Toc98947853"/>
      <w:bookmarkStart w:id="63" w:name="_Toc111194101"/>
      <w:bookmarkStart w:id="64" w:name="_Toc158293328"/>
      <w:bookmarkStart w:id="65" w:name="_Toc158293654"/>
      <w:bookmarkStart w:id="66" w:name="_Toc165302040"/>
      <w:r>
        <w:t>Projection definition, adult and paediatric radiography</w:t>
      </w:r>
      <w:bookmarkEnd w:id="62"/>
      <w:bookmarkEnd w:id="63"/>
      <w:bookmarkEnd w:id="64"/>
      <w:bookmarkEnd w:id="65"/>
      <w:bookmarkEnd w:id="66"/>
    </w:p>
    <w:p w14:paraId="7B40E565" w14:textId="77777777" w:rsidR="00E72CA9" w:rsidRDefault="00D516E3">
      <w:pPr>
        <w:pStyle w:val="Annalstext"/>
        <w:numPr>
          <w:ilvl w:val="0"/>
          <w:numId w:val="1"/>
        </w:numPr>
        <w:ind w:left="0"/>
      </w:pPr>
      <w:r>
        <w:t xml:space="preserve">Whilst it is acknowledged that there is no ‘definitive projection’ for any examination, all projections modelled were considered to be examples of a part of the process of optimisation, or good practice and technique. The projections used in the simulations were defined using an iterative process as shown in Fig. 3.1. Typical field sizes and positioning for each projection were obtained initially from a standard textbook of radiography, intended to teach student radiographers the proper way to obtain radiographs </w:t>
      </w:r>
      <w:r>
        <w:fldChar w:fldCharType="begin"/>
      </w:r>
      <w:r>
        <w:instrText xml:space="preserve"> ADDIN EN.CITE &lt;EndNote&gt;&lt;Cite&gt;&lt;Author&gt;Whitley&lt;/Author&gt;&lt;Year&gt;2015&lt;/Year&gt;&lt;RecNum&gt;12163&lt;/RecNum&gt;&lt;DisplayText&gt;(Whitley et al., 2015)&lt;/DisplayText&gt;&lt;record&gt;&lt;rec-number&gt;12163&lt;/rec-number&gt;&lt;foreign-keys&gt;&lt;key app="EN" db-id="rss5s0wzrpx9pwe5a0h5a9wkx9sf2zexde9d" timestamp="1660115336"&gt;12163&lt;/key&gt;&lt;/foreign-keys&gt;&lt;ref-type name="Book"&gt;6&lt;/ref-type&gt;&lt;contributors&gt;&lt;authors&gt;&lt;author&gt;Whitley, A. Stewart&lt;/author&gt;&lt;author&gt;Jefferson, Gail &lt;/author&gt;&lt;author&gt;Holmes, Ken&lt;/author&gt;&lt;author&gt;Sloane, Charles&lt;/author&gt;&lt;author&gt;Anderson, Craig&lt;/author&gt;&lt;author&gt;Hoadley, Graham&lt;/author&gt;&lt;/authors&gt;&lt;/contributors&gt;&lt;titles&gt;&lt;title&gt;Clark&amp;apos;s Positioning in Radiography &lt;/title&gt;&lt;/titles&gt;&lt;edition&gt;13&lt;/edition&gt;&lt;dates&gt;&lt;year&gt;2015&lt;/year&gt;&lt;pub-dates&gt;&lt;date&gt;2015&lt;/date&gt;&lt;/pub-dates&gt;&lt;/dates&gt;&lt;pub-location&gt;Boca Raton, FL&lt;/pub-location&gt;&lt;publisher&gt;Taylor &amp;amp; Francis&lt;/publisher&gt;&lt;urls&gt;&lt;/urls&gt;&lt;/record&gt;&lt;/Cite&gt;&lt;/EndNote&gt;</w:instrText>
      </w:r>
      <w:r>
        <w:fldChar w:fldCharType="separate"/>
      </w:r>
      <w:r>
        <w:rPr>
          <w:noProof/>
        </w:rPr>
        <w:t>(Whitley et al., 2015)</w:t>
      </w:r>
      <w:r>
        <w:fldChar w:fldCharType="end"/>
      </w:r>
      <w:r>
        <w:t xml:space="preserve">. The information was then used, in conjunction with expert clinical input, to define initial positioning of the irradiation field on the phantom. </w:t>
      </w:r>
    </w:p>
    <w:p w14:paraId="03AD4536" w14:textId="77777777" w:rsidR="00E72CA9" w:rsidRDefault="00D516E3">
      <w:pPr>
        <w:pStyle w:val="Annalstext"/>
        <w:numPr>
          <w:ilvl w:val="0"/>
          <w:numId w:val="1"/>
        </w:numPr>
        <w:ind w:left="0"/>
      </w:pPr>
      <w:bookmarkStart w:id="67" w:name="_Hlk155956553"/>
      <w:r>
        <w:t>For defining the field borders with respect to the phantoms, information on the rectangular cuboids containing the organs under consideration was used, i.e. the minimum and maximum columns, rows and slabs occupied by the respective organs, together with the voxel dimensions. If specified in the geometry description, additional margins were added. For example, in the abdominal radiograph, for a position ‘1–2 cm above dome of diaphragm’, 1.5 cm was added to the topmost coordinate of the liver</w:t>
      </w:r>
      <w:bookmarkEnd w:id="67"/>
      <w:r>
        <w:t>. In this way, the minimum and maximum z-coordinates to be covered by the field were evaluated, and thus the field height and centre, where the latter marks the z-coordinate of the radiation source. Next, the maximum extensions of the slab were assessed where the source z-coordinate is located. For anterior-posterior (AP) and PA projections, the minimum and maximum rows of that slice were assessed and for lateral projections, the minimum and maximum columns. These mark the entrance and exit points of the central beam with respect to the body. If use of an anti-scatter grid was assumed, the image receptor plane was assumed to be 10 cm away from the beam exit point; if no grid was to be considered, the exit point marked the location of the image receptor plane. The source coordinate was then assumed at the focus-to-receptor distance on the opposite side of the body. For the lateral field margins, the same method was applied as for the superior and inferior margins, i.e. use of the rectangular cuboid containing the organs considered and adding margins if needed. Thus, the field width and centre were assessed, where the centre marks the third source coordinate. The field size determined was assumed to be at the centre of the phantom, in a plane between the beam entrance and exit points into and from the body. Similarly, the irradiation fields shown on the phantoms at Annex B are at the centre of the phantoms.</w:t>
      </w:r>
    </w:p>
    <w:p w14:paraId="2944E34A" w14:textId="77777777" w:rsidR="00E72CA9" w:rsidRDefault="00D516E3">
      <w:pPr>
        <w:pStyle w:val="Annalstext"/>
        <w:numPr>
          <w:ilvl w:val="0"/>
          <w:numId w:val="1"/>
        </w:numPr>
        <w:ind w:left="0"/>
      </w:pPr>
      <w:r>
        <w:lastRenderedPageBreak/>
        <w:t>The position of each projection was then assessed by two experienced radiologists and positioning and field definition amended until there was agreement between them that each one was representative of good technique. Whilst the radiologists had a good understanding of what the radiographic image should contain, mapping that image to the mid-coronal plane of the phantom was sometimes difficult and was responsible for most of the iterations in the amendment phase depicted in Fig. 3.1.</w:t>
      </w:r>
      <w:r>
        <w:rPr>
          <w:i/>
          <w:iCs/>
        </w:rPr>
        <w:t xml:space="preserve"> </w:t>
      </w:r>
    </w:p>
    <w:p w14:paraId="52D049F9" w14:textId="77777777" w:rsidR="00E72CA9" w:rsidRDefault="00D516E3">
      <w:pPr>
        <w:pStyle w:val="Annalstext"/>
        <w:numPr>
          <w:ilvl w:val="0"/>
          <w:numId w:val="1"/>
        </w:numPr>
        <w:ind w:left="0" w:firstLine="142"/>
      </w:pPr>
      <w:r>
        <w:t xml:space="preserve"> For graphical representation of the radiation fields and full details of their sizes and positioning, as well as anatomical landmarks, see Annex B.</w:t>
      </w:r>
    </w:p>
    <w:p w14:paraId="1BB2C939" w14:textId="77777777" w:rsidR="00E72CA9" w:rsidRDefault="00E72CA9">
      <w:pPr>
        <w:pStyle w:val="Annalstext"/>
        <w:tabs>
          <w:tab w:val="clear" w:pos="502"/>
        </w:tabs>
        <w:ind w:left="0"/>
      </w:pPr>
    </w:p>
    <w:p w14:paraId="34DE5B89" w14:textId="77777777" w:rsidR="00E72CA9" w:rsidRDefault="00D516E3">
      <w:pPr>
        <w:pStyle w:val="Annalstext"/>
        <w:tabs>
          <w:tab w:val="clear" w:pos="502"/>
        </w:tabs>
        <w:ind w:left="360" w:firstLine="0"/>
        <w:jc w:val="center"/>
        <w:rPr>
          <w:bCs/>
          <w:sz w:val="28"/>
        </w:rPr>
      </w:pPr>
      <w:r>
        <w:rPr>
          <w:noProof/>
          <w:snapToGrid/>
          <w:lang w:eastAsia="en-GB"/>
        </w:rPr>
        <w:drawing>
          <wp:inline distT="0" distB="0" distL="0" distR="0" wp14:anchorId="38BEDD32" wp14:editId="0D38A3DB">
            <wp:extent cx="3132000" cy="4603816"/>
            <wp:effectExtent l="0" t="0" r="0" b="6350"/>
            <wp:docPr id="16" name="Picture 16"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Diagram&#10;&#10;Description automatically generated"/>
                    <pic:cNvPicPr>
                      <a:picLocks/>
                    </pic:cNvPicPr>
                  </pic:nvPicPr>
                  <pic:blipFill rotWithShape="1">
                    <a:blip r:embed="rId13" cstate="email">
                      <a:extLst>
                        <a:ext uri="{28A0092B-C50C-407E-A947-70E740481C1C}">
                          <a14:useLocalDpi xmlns:a14="http://schemas.microsoft.com/office/drawing/2010/main"/>
                        </a:ext>
                      </a:extLst>
                    </a:blip>
                    <a:srcRect l="5785" t="5014" r="5575" b="4949"/>
                    <a:stretch/>
                  </pic:blipFill>
                  <pic:spPr bwMode="auto">
                    <a:xfrm>
                      <a:off x="0" y="0"/>
                      <a:ext cx="3140881" cy="4616870"/>
                    </a:xfrm>
                    <a:prstGeom prst="rect">
                      <a:avLst/>
                    </a:prstGeom>
                    <a:noFill/>
                    <a:ln>
                      <a:noFill/>
                    </a:ln>
                    <a:extLst>
                      <a:ext uri="{53640926-AAD7-44D8-BBD7-CCE9431645EC}">
                        <a14:shadowObscured xmlns:a14="http://schemas.microsoft.com/office/drawing/2010/main"/>
                      </a:ext>
                    </a:extLst>
                  </pic:spPr>
                </pic:pic>
              </a:graphicData>
            </a:graphic>
          </wp:inline>
        </w:drawing>
      </w:r>
    </w:p>
    <w:p w14:paraId="516A69B7" w14:textId="77777777" w:rsidR="00E72CA9" w:rsidRDefault="00D516E3">
      <w:pPr>
        <w:rPr>
          <w:sz w:val="22"/>
        </w:rPr>
      </w:pPr>
      <w:r>
        <w:rPr>
          <w:sz w:val="22"/>
        </w:rPr>
        <w:t xml:space="preserve">Fig. 3.1. Flow diagram showing the process involved in the definition of each radiographic projection. </w:t>
      </w:r>
    </w:p>
    <w:p w14:paraId="7A666E3D" w14:textId="77777777" w:rsidR="00E72CA9" w:rsidRDefault="00E72CA9">
      <w:pPr>
        <w:rPr>
          <w:sz w:val="22"/>
        </w:rPr>
      </w:pPr>
    </w:p>
    <w:p w14:paraId="46A0156B" w14:textId="77777777" w:rsidR="00E72CA9" w:rsidRDefault="00D516E3">
      <w:pPr>
        <w:pStyle w:val="ICRPnumberedparagraph"/>
        <w:ind w:left="0"/>
        <w:rPr>
          <w:position w:val="-24"/>
        </w:rPr>
      </w:pPr>
      <w:r>
        <w:rPr>
          <w:position w:val="-24"/>
        </w:rPr>
        <w:t xml:space="preserve">To obtain the dose coefficients for this publication, calculations were carried out assuming irradiation of the phantoms placed in vacuum, by point source, collimated beams. It should be noted that no collimators are simulated: the ‘collimation’ is completely idealised, and allows </w:t>
      </w:r>
      <w:r>
        <w:rPr>
          <w:position w:val="-24"/>
          <w:lang w:val="en-US"/>
        </w:rPr>
        <w:t>only photons coming from the isotropic point source that hit the phantom inside the rectangular field borders assumed to represent the radiographic exposures.</w:t>
      </w:r>
      <w:r>
        <w:rPr>
          <w:color w:val="FF0000"/>
          <w:position w:val="-24"/>
          <w:lang w:val="en-US"/>
        </w:rPr>
        <w:t xml:space="preserve"> </w:t>
      </w:r>
      <w:r>
        <w:rPr>
          <w:position w:val="-24"/>
          <w:lang w:val="en-US"/>
        </w:rPr>
        <w:t>The implication of this assumption is considered in Section 6.3.3. As an example, Fig. 3.2 shows schematically the exposure for a PA chest examination of the reference adult male. Details of the Monte Carlo calculation methodology can be found in Section 4.</w:t>
      </w:r>
    </w:p>
    <w:p w14:paraId="06627C12" w14:textId="77777777" w:rsidR="00E72CA9" w:rsidRDefault="00E72CA9">
      <w:pPr>
        <w:pStyle w:val="Annalstext"/>
        <w:tabs>
          <w:tab w:val="clear" w:pos="502"/>
        </w:tabs>
        <w:ind w:left="0"/>
      </w:pPr>
    </w:p>
    <w:p w14:paraId="0B3E7BFC" w14:textId="77777777" w:rsidR="00E72CA9" w:rsidRDefault="00E72CA9">
      <w:pPr>
        <w:pStyle w:val="Annalstext"/>
        <w:tabs>
          <w:tab w:val="clear" w:pos="502"/>
        </w:tabs>
        <w:ind w:left="0"/>
      </w:pPr>
    </w:p>
    <w:p w14:paraId="772723EC" w14:textId="77777777" w:rsidR="00E72CA9" w:rsidRDefault="00E72CA9">
      <w:pPr>
        <w:pStyle w:val="Annalstext"/>
        <w:tabs>
          <w:tab w:val="clear" w:pos="502"/>
        </w:tabs>
        <w:ind w:left="0"/>
      </w:pPr>
    </w:p>
    <w:p w14:paraId="339A0979" w14:textId="77777777" w:rsidR="00E72CA9" w:rsidRDefault="00D516E3">
      <w:pPr>
        <w:tabs>
          <w:tab w:val="num" w:pos="630"/>
          <w:tab w:val="left" w:pos="851"/>
        </w:tabs>
        <w:ind w:firstLine="270"/>
        <w:jc w:val="center"/>
        <w:rPr>
          <w:rFonts w:ascii="Times" w:hAnsi="Times"/>
          <w:lang w:eastAsia="de-DE"/>
        </w:rPr>
      </w:pPr>
      <w:r>
        <w:rPr>
          <w:rFonts w:ascii="Times" w:hAnsi="Times"/>
          <w:noProof/>
          <w:lang w:eastAsia="de-DE"/>
        </w:rPr>
        <w:lastRenderedPageBreak/>
        <w:drawing>
          <wp:inline distT="0" distB="0" distL="0" distR="0" wp14:anchorId="50F2B01F" wp14:editId="095B6B82">
            <wp:extent cx="5731510" cy="3223895"/>
            <wp:effectExtent l="0" t="0" r="254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223895"/>
                    </a:xfrm>
                    <a:prstGeom prst="rect">
                      <a:avLst/>
                    </a:prstGeom>
                  </pic:spPr>
                </pic:pic>
              </a:graphicData>
            </a:graphic>
          </wp:inline>
        </w:drawing>
      </w:r>
    </w:p>
    <w:p w14:paraId="376A40CC" w14:textId="77777777" w:rsidR="00E72CA9" w:rsidRDefault="00D516E3">
      <w:pPr>
        <w:jc w:val="both"/>
        <w:rPr>
          <w:sz w:val="22"/>
        </w:rPr>
      </w:pPr>
      <w:r>
        <w:rPr>
          <w:sz w:val="22"/>
        </w:rPr>
        <w:t xml:space="preserve">Fig. 3.2. Radiographic exposure of the chest of the adult male (AM) reference phantom from posterior-anterior (PA) direction, indicating relevant quantities. Front view: the larger rectangle (in grey, dotted) represents the field size at the detector plane, the smaller rectangle (blue) represents the field size at the reference plane. Lateral view: </w:t>
      </w:r>
      <w:r>
        <w:rPr>
          <w:bCs/>
          <w:sz w:val="22"/>
        </w:rPr>
        <w:t xml:space="preserve">the reference plane (at 100 cm from the source (red, dotted line) and the position in the centre of the phantom at which the field is defined (see Annex B) are shown. </w:t>
      </w:r>
      <w:r>
        <w:rPr>
          <w:sz w:val="22"/>
        </w:rPr>
        <w:t>FDD, Focus- to-Detector Distance; SDD, Skin-to-Detector Distance.</w:t>
      </w:r>
      <w:r>
        <w:br w:type="page"/>
      </w:r>
    </w:p>
    <w:p w14:paraId="0244A3C9" w14:textId="77777777" w:rsidR="00E72CA9" w:rsidRDefault="00D516E3">
      <w:pPr>
        <w:pStyle w:val="1"/>
      </w:pPr>
      <w:bookmarkStart w:id="68" w:name="_Toc158293329"/>
      <w:bookmarkStart w:id="69" w:name="_Toc158293655"/>
      <w:bookmarkStart w:id="70" w:name="_Toc165302041"/>
      <w:r>
        <w:lastRenderedPageBreak/>
        <w:t xml:space="preserve">DETERMINATION OF DOSE COEFFICIENTS FOR MONOENERGETIC </w:t>
      </w:r>
      <w:bookmarkEnd w:id="68"/>
      <w:bookmarkEnd w:id="69"/>
      <w:r>
        <w:t>photons</w:t>
      </w:r>
      <w:bookmarkEnd w:id="70"/>
    </w:p>
    <w:p w14:paraId="1E4C090C" w14:textId="77777777" w:rsidR="00E72CA9" w:rsidRDefault="00D516E3">
      <w:pPr>
        <w:pStyle w:val="Annalstext"/>
        <w:numPr>
          <w:ilvl w:val="0"/>
          <w:numId w:val="1"/>
        </w:numPr>
        <w:ind w:left="0"/>
      </w:pPr>
      <w:r>
        <w:t xml:space="preserve">A ‘dose (conversion) coefficient’, </w:t>
      </w:r>
      <w:r>
        <w:rPr>
          <w:i/>
        </w:rPr>
        <w:t>c</w:t>
      </w:r>
      <w:r>
        <w:t xml:space="preserve">, relates a dosimetric quantity to some other quantity, i.e. the normalisation quantity, which can be readily measured or calculated in the clinical situation. For radiography of adults and children, the specified dosimetric quantities are the organ absorbed dose, </w:t>
      </w:r>
      <w:r>
        <w:rPr>
          <w:i/>
        </w:rPr>
        <w:t>D</w:t>
      </w:r>
      <w:r>
        <w:rPr>
          <w:vertAlign w:val="subscript"/>
        </w:rPr>
        <w:t>T</w:t>
      </w:r>
      <w:r>
        <w:t>,</w:t>
      </w:r>
      <w:r>
        <w:rPr>
          <w:vertAlign w:val="subscript"/>
        </w:rPr>
        <w:t xml:space="preserve"> </w:t>
      </w:r>
      <w:r>
        <w:t>and Effective</w:t>
      </w:r>
      <w:r>
        <w:rPr>
          <w:vertAlign w:val="subscript"/>
        </w:rPr>
        <w:t xml:space="preserve"> </w:t>
      </w:r>
      <w:r>
        <w:t xml:space="preserve">dose, </w:t>
      </w:r>
      <w:r>
        <w:rPr>
          <w:i/>
        </w:rPr>
        <w:t>E</w:t>
      </w:r>
      <w:r>
        <w:t>. The air kerma–area product, KAP (</w:t>
      </w:r>
      <w:r>
        <w:rPr>
          <w:i/>
        </w:rPr>
        <w:t>P</w:t>
      </w:r>
      <w:r>
        <w:rPr>
          <w:vertAlign w:val="subscript"/>
        </w:rPr>
        <w:t>KA</w:t>
      </w:r>
      <w:r>
        <w:t xml:space="preserve">), air kerma free-in-air at a specified distance, </w:t>
      </w:r>
      <w:r>
        <w:rPr>
          <w:i/>
        </w:rPr>
        <w:t>K</w:t>
      </w:r>
      <w:r>
        <w:rPr>
          <w:vertAlign w:val="subscript"/>
        </w:rPr>
        <w:t>a</w:t>
      </w:r>
      <w:r>
        <w:t xml:space="preserve">, the incident air </w:t>
      </w:r>
      <w:proofErr w:type="spellStart"/>
      <w:r>
        <w:t>kerma</w:t>
      </w:r>
      <w:proofErr w:type="spellEnd"/>
      <w:r>
        <w:t xml:space="preserve">, </w:t>
      </w:r>
      <w:proofErr w:type="spellStart"/>
      <w:r>
        <w:rPr>
          <w:i/>
        </w:rPr>
        <w:t>K</w:t>
      </w:r>
      <w:r>
        <w:rPr>
          <w:vertAlign w:val="subscript"/>
        </w:rPr>
        <w:t>a,i</w:t>
      </w:r>
      <w:proofErr w:type="spellEnd"/>
      <w:r>
        <w:t xml:space="preserve">, or the entrance surface air </w:t>
      </w:r>
      <w:proofErr w:type="spellStart"/>
      <w:r>
        <w:t>kerma</w:t>
      </w:r>
      <w:proofErr w:type="spellEnd"/>
      <w:r>
        <w:t xml:space="preserve">, </w:t>
      </w:r>
      <w:proofErr w:type="spellStart"/>
      <w:r>
        <w:rPr>
          <w:i/>
        </w:rPr>
        <w:t>K</w:t>
      </w:r>
      <w:r>
        <w:rPr>
          <w:vertAlign w:val="subscript"/>
        </w:rPr>
        <w:t>a,e</w:t>
      </w:r>
      <w:proofErr w:type="spellEnd"/>
      <w:r>
        <w:t>, are used as normalisation quantities.</w:t>
      </w:r>
    </w:p>
    <w:p w14:paraId="6603DF96" w14:textId="77777777" w:rsidR="00E72CA9" w:rsidRDefault="00D516E3">
      <w:pPr>
        <w:pStyle w:val="2"/>
      </w:pPr>
      <w:bookmarkStart w:id="71" w:name="_Toc510393119"/>
      <w:bookmarkStart w:id="72" w:name="_Toc510394603"/>
      <w:bookmarkStart w:id="73" w:name="_Toc5194872"/>
      <w:bookmarkStart w:id="74" w:name="_Toc111194103"/>
      <w:bookmarkStart w:id="75" w:name="_Toc158293330"/>
      <w:bookmarkStart w:id="76" w:name="_Toc158293656"/>
      <w:bookmarkStart w:id="77" w:name="_Toc165302042"/>
      <w:r>
        <w:rPr>
          <w:bCs/>
        </w:rPr>
        <w:t xml:space="preserve">Monte </w:t>
      </w:r>
      <w:r>
        <w:t>Carlo photon transport calculation in the anthropomorphic phantoms</w:t>
      </w:r>
      <w:bookmarkEnd w:id="71"/>
      <w:bookmarkEnd w:id="72"/>
      <w:bookmarkEnd w:id="73"/>
      <w:r>
        <w:t xml:space="preserve"> for monoenergetic values</w:t>
      </w:r>
      <w:bookmarkEnd w:id="74"/>
      <w:bookmarkEnd w:id="75"/>
      <w:bookmarkEnd w:id="76"/>
      <w:bookmarkEnd w:id="77"/>
    </w:p>
    <w:p w14:paraId="3DA56040" w14:textId="77777777" w:rsidR="00E72CA9" w:rsidRDefault="00D516E3">
      <w:pPr>
        <w:pStyle w:val="ICRPnumberedparagraph"/>
        <w:ind w:left="0"/>
      </w:pPr>
      <w:r>
        <w:rPr>
          <w:snapToGrid w:val="0"/>
          <w:szCs w:val="20"/>
          <w:lang w:eastAsia="sv-SE"/>
        </w:rPr>
        <w:t>Table 4.1 shows the examinations that were simulated. For each of these examinations, calculations involved the computation of organ absorbed dose coefficients in each sex-age-specific phantom. Particle transport calculations were performed with the EGSnrc code for the adults and GEANT4 for the paediatric cases. For validation purposes, spot check calculations were performed with EGSnrc for a selection of paediatric cases and with GEANT4 for a selection of adult reference phantoms and exposures. Table 4.2 summarises the details of the methodology used for the Monte Carlo calculations of the dose coefficients.</w:t>
      </w:r>
    </w:p>
    <w:p w14:paraId="0C6A3A2A" w14:textId="77777777" w:rsidR="00E72CA9" w:rsidRDefault="00D516E3">
      <w:pPr>
        <w:pStyle w:val="Annalstext"/>
        <w:numPr>
          <w:ilvl w:val="0"/>
          <w:numId w:val="1"/>
        </w:numPr>
        <w:tabs>
          <w:tab w:val="clear" w:pos="644"/>
          <w:tab w:val="clear" w:pos="2062"/>
        </w:tabs>
        <w:ind w:left="0"/>
      </w:pPr>
      <w:r>
        <w:t>During radiographic examinations, the arms of the patient are either alongside the body (causing attenuation and scattering of the x-ray beam), above the head or positioned in a way that enhances the image as for example, for a chest PA examination, when the hands are placed at the patient’s side at waist level, usually with palms out, which results in flexion at the elbow and moves the arms away from the chest. Newborn and 1-year-old patients cannot cooperate, thus for these two latter ages of patients, only for the lateral spine examinations are the arms kept out of the field since these would obscure the structures being examined.</w:t>
      </w:r>
    </w:p>
    <w:p w14:paraId="62461899" w14:textId="77777777" w:rsidR="00E72CA9" w:rsidRDefault="00D516E3">
      <w:pPr>
        <w:pStyle w:val="Annalstext"/>
        <w:numPr>
          <w:ilvl w:val="0"/>
          <w:numId w:val="1"/>
        </w:numPr>
        <w:tabs>
          <w:tab w:val="clear" w:pos="644"/>
          <w:tab w:val="clear" w:pos="851"/>
          <w:tab w:val="num" w:pos="567"/>
          <w:tab w:val="left" w:pos="709"/>
        </w:tabs>
        <w:ind w:left="0"/>
      </w:pPr>
      <w:r>
        <w:t xml:space="preserve"> The ICRP reference phantoms – adult and paediatric – have their arms alongside the body. These are not easily movable, but for simulations of the projections when the arms are outside the beam, these could be removed by replacing the arm tissues simply with vacuum (see Fig. 4.1) noting that the shoulder tissues remain in order to simulate the arms being held in front of the chest or up above the chest). The involved tissues of the arms are skin, adipose tissue, muscle, lymph nodes, blood, cartilage and bones.</w:t>
      </w:r>
    </w:p>
    <w:p w14:paraId="362AA064" w14:textId="77777777" w:rsidR="00E72CA9" w:rsidRDefault="00D516E3">
      <w:pPr>
        <w:pStyle w:val="Annalstext"/>
        <w:numPr>
          <w:ilvl w:val="0"/>
          <w:numId w:val="1"/>
        </w:numPr>
        <w:tabs>
          <w:tab w:val="clear" w:pos="851"/>
          <w:tab w:val="left" w:pos="709"/>
        </w:tabs>
        <w:ind w:left="0"/>
      </w:pPr>
      <w:r>
        <w:t xml:space="preserve"> Table 4.1 also shows whether the simulations were performed with or without the arms of the phantoms. It should be noted that for calculating the respective dose coefficients, the original masses of all organs of the phantoms were used, i.e. inclusive arms. This is to allow for the fact that the arms of the phantom, although removed for the simulations, in reality are there and the risk, for example, of the skin, is associated to the tissue weighting factor, </w:t>
      </w:r>
      <w:proofErr w:type="spellStart"/>
      <w:r>
        <w:rPr>
          <w:i/>
        </w:rPr>
        <w:t>w</w:t>
      </w:r>
      <w:r>
        <w:rPr>
          <w:vertAlign w:val="subscript"/>
        </w:rPr>
        <w:t>T</w:t>
      </w:r>
      <w:proofErr w:type="spellEnd"/>
      <w:r>
        <w:t xml:space="preserve">, which corresponds to the whole organ, i.e. the skin over the whole body. </w:t>
      </w:r>
    </w:p>
    <w:p w14:paraId="1C57EB01" w14:textId="77777777" w:rsidR="00E72CA9" w:rsidRDefault="00D516E3">
      <w:pPr>
        <w:pStyle w:val="Annalstext"/>
        <w:tabs>
          <w:tab w:val="clear" w:pos="502"/>
        </w:tabs>
        <w:ind w:left="284" w:firstLine="0"/>
      </w:pPr>
      <w:r>
        <w:rPr>
          <w:noProof/>
          <w:lang w:eastAsia="en-GB"/>
        </w:rPr>
        <w:lastRenderedPageBreak/>
        <w:drawing>
          <wp:inline distT="0" distB="0" distL="0" distR="0" wp14:anchorId="13381054" wp14:editId="68D71F89">
            <wp:extent cx="5731510" cy="3223895"/>
            <wp:effectExtent l="0" t="0" r="254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p>
    <w:p w14:paraId="73DF548F" w14:textId="77777777" w:rsidR="00E72CA9" w:rsidRDefault="00E72CA9">
      <w:pPr>
        <w:pStyle w:val="Annalstext"/>
        <w:tabs>
          <w:tab w:val="clear" w:pos="502"/>
        </w:tabs>
        <w:ind w:left="0"/>
      </w:pPr>
    </w:p>
    <w:p w14:paraId="59BBF1ED" w14:textId="77777777" w:rsidR="00E72CA9" w:rsidRDefault="00D516E3">
      <w:pPr>
        <w:spacing w:after="120"/>
        <w:rPr>
          <w:sz w:val="22"/>
        </w:rPr>
      </w:pPr>
      <w:r>
        <w:rPr>
          <w:sz w:val="22"/>
        </w:rPr>
        <w:t>Fig. 4.1. Series of the adult and paediatric reference voxel phantoms with their arms removed. For the newborn, 1-,5-, and 10-year-old, male phantoms are only shown. M, male; F, female.</w:t>
      </w:r>
    </w:p>
    <w:p w14:paraId="1A3CF43B" w14:textId="77777777" w:rsidR="00E72CA9" w:rsidRDefault="00E72CA9">
      <w:pPr>
        <w:pStyle w:val="Annalstext"/>
        <w:tabs>
          <w:tab w:val="clear" w:pos="502"/>
        </w:tabs>
        <w:ind w:left="0" w:firstLine="142"/>
        <w:rPr>
          <w:lang w:val="en-US"/>
        </w:rPr>
      </w:pPr>
    </w:p>
    <w:p w14:paraId="2F723AD3" w14:textId="77777777" w:rsidR="00E72CA9" w:rsidRDefault="00D516E3">
      <w:pPr>
        <w:pStyle w:val="Annalstext"/>
        <w:tabs>
          <w:tab w:val="clear" w:pos="502"/>
        </w:tabs>
        <w:spacing w:before="120"/>
        <w:ind w:left="0" w:firstLine="0"/>
      </w:pPr>
      <w:r>
        <w:t xml:space="preserve">Table 4.1. List of the simulated examinations, with the indication if these were performed with or without the arms of the phantoms. </w:t>
      </w:r>
    </w:p>
    <w:tbl>
      <w:tblPr>
        <w:tblStyle w:val="a8"/>
        <w:tblW w:w="975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2"/>
        <w:gridCol w:w="1120"/>
        <w:gridCol w:w="1122"/>
        <w:gridCol w:w="1122"/>
        <w:gridCol w:w="1122"/>
        <w:gridCol w:w="1122"/>
        <w:gridCol w:w="1122"/>
      </w:tblGrid>
      <w:tr w:rsidR="00E72CA9" w14:paraId="7250BB88" w14:textId="77777777">
        <w:tc>
          <w:tcPr>
            <w:tcW w:w="3022" w:type="dxa"/>
            <w:tcBorders>
              <w:top w:val="single" w:sz="4" w:space="0" w:color="auto"/>
              <w:bottom w:val="single" w:sz="4" w:space="0" w:color="auto"/>
            </w:tcBorders>
            <w:shd w:val="clear" w:color="auto" w:fill="auto"/>
            <w:vAlign w:val="bottom"/>
          </w:tcPr>
          <w:p w14:paraId="4C477DC1" w14:textId="77777777" w:rsidR="00E72CA9" w:rsidRDefault="00D516E3">
            <w:pPr>
              <w:rPr>
                <w:color w:val="000000" w:themeColor="text1"/>
              </w:rPr>
            </w:pPr>
            <w:r>
              <w:rPr>
                <w:color w:val="000000" w:themeColor="text1"/>
              </w:rPr>
              <w:t>Examination</w:t>
            </w:r>
          </w:p>
        </w:tc>
        <w:tc>
          <w:tcPr>
            <w:tcW w:w="1120" w:type="dxa"/>
            <w:tcBorders>
              <w:top w:val="single" w:sz="4" w:space="0" w:color="auto"/>
              <w:bottom w:val="single" w:sz="4" w:space="0" w:color="auto"/>
            </w:tcBorders>
            <w:shd w:val="clear" w:color="auto" w:fill="auto"/>
            <w:vAlign w:val="bottom"/>
          </w:tcPr>
          <w:p w14:paraId="6DB02B6E" w14:textId="77777777" w:rsidR="00E72CA9" w:rsidRDefault="00D516E3">
            <w:pPr>
              <w:rPr>
                <w:color w:val="000000" w:themeColor="text1"/>
              </w:rPr>
            </w:pPr>
            <w:r>
              <w:rPr>
                <w:color w:val="000000" w:themeColor="text1"/>
              </w:rPr>
              <w:t>Newborn</w:t>
            </w:r>
          </w:p>
        </w:tc>
        <w:tc>
          <w:tcPr>
            <w:tcW w:w="1122" w:type="dxa"/>
            <w:tcBorders>
              <w:top w:val="single" w:sz="4" w:space="0" w:color="auto"/>
              <w:bottom w:val="single" w:sz="4" w:space="0" w:color="auto"/>
            </w:tcBorders>
            <w:shd w:val="clear" w:color="auto" w:fill="auto"/>
            <w:vAlign w:val="bottom"/>
          </w:tcPr>
          <w:p w14:paraId="1A7EFE65" w14:textId="77777777" w:rsidR="00E72CA9" w:rsidRDefault="00D516E3">
            <w:pPr>
              <w:rPr>
                <w:color w:val="000000" w:themeColor="text1"/>
              </w:rPr>
            </w:pPr>
            <w:r>
              <w:rPr>
                <w:color w:val="000000" w:themeColor="text1"/>
              </w:rPr>
              <w:t>1-year old</w:t>
            </w:r>
          </w:p>
          <w:p w14:paraId="14F21DAB" w14:textId="77777777" w:rsidR="00E72CA9" w:rsidRDefault="00E72CA9">
            <w:pPr>
              <w:rPr>
                <w:color w:val="000000" w:themeColor="text1"/>
              </w:rPr>
            </w:pPr>
          </w:p>
        </w:tc>
        <w:tc>
          <w:tcPr>
            <w:tcW w:w="1122" w:type="dxa"/>
            <w:tcBorders>
              <w:top w:val="single" w:sz="4" w:space="0" w:color="auto"/>
              <w:bottom w:val="single" w:sz="4" w:space="0" w:color="auto"/>
            </w:tcBorders>
            <w:shd w:val="clear" w:color="auto" w:fill="auto"/>
            <w:vAlign w:val="bottom"/>
          </w:tcPr>
          <w:p w14:paraId="2768ECB5" w14:textId="77777777" w:rsidR="00E72CA9" w:rsidRDefault="00D516E3">
            <w:pPr>
              <w:rPr>
                <w:color w:val="000000" w:themeColor="text1"/>
              </w:rPr>
            </w:pPr>
            <w:r>
              <w:rPr>
                <w:color w:val="000000" w:themeColor="text1"/>
              </w:rPr>
              <w:t>5-year old</w:t>
            </w:r>
          </w:p>
          <w:p w14:paraId="7F4DAF72" w14:textId="77777777" w:rsidR="00E72CA9" w:rsidRDefault="00E72CA9">
            <w:pPr>
              <w:rPr>
                <w:color w:val="000000" w:themeColor="text1"/>
              </w:rPr>
            </w:pPr>
          </w:p>
        </w:tc>
        <w:tc>
          <w:tcPr>
            <w:tcW w:w="1122" w:type="dxa"/>
            <w:tcBorders>
              <w:top w:val="single" w:sz="4" w:space="0" w:color="auto"/>
              <w:bottom w:val="single" w:sz="4" w:space="0" w:color="auto"/>
            </w:tcBorders>
            <w:shd w:val="clear" w:color="auto" w:fill="auto"/>
            <w:vAlign w:val="bottom"/>
          </w:tcPr>
          <w:p w14:paraId="6250A47E" w14:textId="77777777" w:rsidR="00E72CA9" w:rsidRDefault="00D516E3">
            <w:pPr>
              <w:rPr>
                <w:color w:val="000000" w:themeColor="text1"/>
              </w:rPr>
            </w:pPr>
            <w:r>
              <w:rPr>
                <w:color w:val="000000" w:themeColor="text1"/>
              </w:rPr>
              <w:t>10-year old</w:t>
            </w:r>
          </w:p>
        </w:tc>
        <w:tc>
          <w:tcPr>
            <w:tcW w:w="1122" w:type="dxa"/>
            <w:tcBorders>
              <w:top w:val="single" w:sz="4" w:space="0" w:color="auto"/>
              <w:bottom w:val="single" w:sz="4" w:space="0" w:color="auto"/>
            </w:tcBorders>
            <w:shd w:val="clear" w:color="auto" w:fill="auto"/>
            <w:vAlign w:val="bottom"/>
          </w:tcPr>
          <w:p w14:paraId="4AC36E2F" w14:textId="77777777" w:rsidR="00E72CA9" w:rsidRDefault="00D516E3">
            <w:pPr>
              <w:rPr>
                <w:color w:val="000000" w:themeColor="text1"/>
              </w:rPr>
            </w:pPr>
            <w:r>
              <w:rPr>
                <w:color w:val="000000" w:themeColor="text1"/>
              </w:rPr>
              <w:t>15-year old</w:t>
            </w:r>
          </w:p>
        </w:tc>
        <w:tc>
          <w:tcPr>
            <w:tcW w:w="1122" w:type="dxa"/>
            <w:tcBorders>
              <w:top w:val="single" w:sz="4" w:space="0" w:color="auto"/>
              <w:bottom w:val="single" w:sz="4" w:space="0" w:color="auto"/>
            </w:tcBorders>
            <w:shd w:val="clear" w:color="auto" w:fill="auto"/>
            <w:vAlign w:val="bottom"/>
          </w:tcPr>
          <w:p w14:paraId="4666D6F1" w14:textId="77777777" w:rsidR="00E72CA9" w:rsidRDefault="00D516E3">
            <w:pPr>
              <w:rPr>
                <w:color w:val="000000" w:themeColor="text1"/>
              </w:rPr>
            </w:pPr>
            <w:r>
              <w:rPr>
                <w:color w:val="000000" w:themeColor="text1"/>
              </w:rPr>
              <w:t>Adult</w:t>
            </w:r>
          </w:p>
        </w:tc>
      </w:tr>
      <w:tr w:rsidR="00E72CA9" w14:paraId="655ED3BC" w14:textId="77777777">
        <w:tc>
          <w:tcPr>
            <w:tcW w:w="3022" w:type="dxa"/>
            <w:tcBorders>
              <w:top w:val="single" w:sz="4" w:space="0" w:color="auto"/>
            </w:tcBorders>
            <w:shd w:val="clear" w:color="auto" w:fill="auto"/>
          </w:tcPr>
          <w:p w14:paraId="1E374466" w14:textId="77777777" w:rsidR="00E72CA9" w:rsidRDefault="00D516E3">
            <w:pPr>
              <w:rPr>
                <w:color w:val="000000" w:themeColor="text1"/>
              </w:rPr>
            </w:pPr>
            <w:r>
              <w:rPr>
                <w:color w:val="000000" w:themeColor="text1"/>
              </w:rPr>
              <w:t>Chest PA</w:t>
            </w:r>
          </w:p>
        </w:tc>
        <w:tc>
          <w:tcPr>
            <w:tcW w:w="1120" w:type="dxa"/>
            <w:tcBorders>
              <w:top w:val="single" w:sz="4" w:space="0" w:color="auto"/>
            </w:tcBorders>
            <w:shd w:val="clear" w:color="auto" w:fill="auto"/>
          </w:tcPr>
          <w:p w14:paraId="4947B76C" w14:textId="77777777" w:rsidR="00E72CA9" w:rsidRDefault="00D516E3">
            <w:pPr>
              <w:rPr>
                <w:color w:val="000000" w:themeColor="text1"/>
              </w:rPr>
            </w:pPr>
            <w:r>
              <w:rPr>
                <w:color w:val="000000" w:themeColor="text1"/>
              </w:rPr>
              <w:t>N/A</w:t>
            </w:r>
          </w:p>
        </w:tc>
        <w:tc>
          <w:tcPr>
            <w:tcW w:w="1122" w:type="dxa"/>
            <w:tcBorders>
              <w:top w:val="single" w:sz="4" w:space="0" w:color="auto"/>
            </w:tcBorders>
            <w:shd w:val="clear" w:color="auto" w:fill="auto"/>
          </w:tcPr>
          <w:p w14:paraId="5F54972E" w14:textId="77777777" w:rsidR="00E72CA9" w:rsidRDefault="00D516E3">
            <w:pPr>
              <w:rPr>
                <w:color w:val="000000" w:themeColor="text1"/>
              </w:rPr>
            </w:pPr>
            <w:r>
              <w:rPr>
                <w:color w:val="000000" w:themeColor="text1"/>
              </w:rPr>
              <w:t>N/A</w:t>
            </w:r>
          </w:p>
        </w:tc>
        <w:tc>
          <w:tcPr>
            <w:tcW w:w="1122" w:type="dxa"/>
            <w:tcBorders>
              <w:top w:val="single" w:sz="4" w:space="0" w:color="auto"/>
            </w:tcBorders>
            <w:shd w:val="clear" w:color="auto" w:fill="auto"/>
          </w:tcPr>
          <w:p w14:paraId="4B389D99" w14:textId="77777777" w:rsidR="00E72CA9" w:rsidRDefault="00D516E3">
            <w:pPr>
              <w:rPr>
                <w:color w:val="000000" w:themeColor="text1"/>
              </w:rPr>
            </w:pPr>
            <w:r>
              <w:rPr>
                <w:color w:val="000000" w:themeColor="text1"/>
              </w:rPr>
              <w:t>without</w:t>
            </w:r>
          </w:p>
        </w:tc>
        <w:tc>
          <w:tcPr>
            <w:tcW w:w="1122" w:type="dxa"/>
            <w:tcBorders>
              <w:top w:val="single" w:sz="4" w:space="0" w:color="auto"/>
            </w:tcBorders>
            <w:shd w:val="clear" w:color="auto" w:fill="auto"/>
          </w:tcPr>
          <w:p w14:paraId="5602C0E9" w14:textId="77777777" w:rsidR="00E72CA9" w:rsidRDefault="00D516E3">
            <w:pPr>
              <w:rPr>
                <w:color w:val="000000" w:themeColor="text1"/>
              </w:rPr>
            </w:pPr>
            <w:r>
              <w:rPr>
                <w:color w:val="000000" w:themeColor="text1"/>
              </w:rPr>
              <w:t>without</w:t>
            </w:r>
          </w:p>
        </w:tc>
        <w:tc>
          <w:tcPr>
            <w:tcW w:w="1122" w:type="dxa"/>
            <w:tcBorders>
              <w:top w:val="single" w:sz="4" w:space="0" w:color="auto"/>
            </w:tcBorders>
            <w:shd w:val="clear" w:color="auto" w:fill="auto"/>
          </w:tcPr>
          <w:p w14:paraId="42AF8BAD" w14:textId="77777777" w:rsidR="00E72CA9" w:rsidRDefault="00D516E3">
            <w:pPr>
              <w:rPr>
                <w:color w:val="000000" w:themeColor="text1"/>
              </w:rPr>
            </w:pPr>
            <w:r>
              <w:rPr>
                <w:color w:val="000000" w:themeColor="text1"/>
              </w:rPr>
              <w:t>without</w:t>
            </w:r>
          </w:p>
        </w:tc>
        <w:tc>
          <w:tcPr>
            <w:tcW w:w="1122" w:type="dxa"/>
            <w:tcBorders>
              <w:top w:val="single" w:sz="4" w:space="0" w:color="auto"/>
            </w:tcBorders>
            <w:shd w:val="clear" w:color="auto" w:fill="auto"/>
          </w:tcPr>
          <w:p w14:paraId="638E4E4D" w14:textId="77777777" w:rsidR="00E72CA9" w:rsidRDefault="00D516E3">
            <w:pPr>
              <w:rPr>
                <w:color w:val="000000" w:themeColor="text1"/>
              </w:rPr>
            </w:pPr>
            <w:r>
              <w:rPr>
                <w:color w:val="000000" w:themeColor="text1"/>
              </w:rPr>
              <w:t>without</w:t>
            </w:r>
          </w:p>
        </w:tc>
      </w:tr>
      <w:tr w:rsidR="00E72CA9" w14:paraId="4525FC91" w14:textId="77777777">
        <w:tc>
          <w:tcPr>
            <w:tcW w:w="3022" w:type="dxa"/>
            <w:shd w:val="clear" w:color="auto" w:fill="auto"/>
          </w:tcPr>
          <w:p w14:paraId="01EDC57E" w14:textId="77777777" w:rsidR="00E72CA9" w:rsidRDefault="00D516E3">
            <w:pPr>
              <w:rPr>
                <w:color w:val="000000" w:themeColor="text1"/>
              </w:rPr>
            </w:pPr>
            <w:r>
              <w:rPr>
                <w:color w:val="000000" w:themeColor="text1"/>
              </w:rPr>
              <w:t>Chest AP</w:t>
            </w:r>
          </w:p>
        </w:tc>
        <w:tc>
          <w:tcPr>
            <w:tcW w:w="1120" w:type="dxa"/>
            <w:shd w:val="clear" w:color="auto" w:fill="auto"/>
          </w:tcPr>
          <w:p w14:paraId="19BE1F5C" w14:textId="77777777" w:rsidR="00E72CA9" w:rsidRDefault="00D516E3">
            <w:pPr>
              <w:rPr>
                <w:color w:val="000000" w:themeColor="text1"/>
              </w:rPr>
            </w:pPr>
            <w:r>
              <w:rPr>
                <w:color w:val="000000" w:themeColor="text1"/>
              </w:rPr>
              <w:t>with</w:t>
            </w:r>
          </w:p>
        </w:tc>
        <w:tc>
          <w:tcPr>
            <w:tcW w:w="1122" w:type="dxa"/>
            <w:shd w:val="clear" w:color="auto" w:fill="auto"/>
          </w:tcPr>
          <w:p w14:paraId="2DC5C2D3" w14:textId="77777777" w:rsidR="00E72CA9" w:rsidRDefault="00D516E3">
            <w:pPr>
              <w:rPr>
                <w:color w:val="000000" w:themeColor="text1"/>
              </w:rPr>
            </w:pPr>
            <w:r>
              <w:rPr>
                <w:color w:val="000000" w:themeColor="text1"/>
              </w:rPr>
              <w:t>with</w:t>
            </w:r>
          </w:p>
        </w:tc>
        <w:tc>
          <w:tcPr>
            <w:tcW w:w="1122" w:type="dxa"/>
            <w:shd w:val="clear" w:color="auto" w:fill="auto"/>
          </w:tcPr>
          <w:p w14:paraId="16CFDE30" w14:textId="77777777" w:rsidR="00E72CA9" w:rsidRDefault="00D516E3">
            <w:pPr>
              <w:rPr>
                <w:color w:val="000000" w:themeColor="text1"/>
              </w:rPr>
            </w:pPr>
            <w:r>
              <w:rPr>
                <w:color w:val="000000" w:themeColor="text1"/>
              </w:rPr>
              <w:t>with</w:t>
            </w:r>
          </w:p>
        </w:tc>
        <w:tc>
          <w:tcPr>
            <w:tcW w:w="1122" w:type="dxa"/>
            <w:shd w:val="clear" w:color="auto" w:fill="auto"/>
          </w:tcPr>
          <w:p w14:paraId="3F8BA07E" w14:textId="77777777" w:rsidR="00E72CA9" w:rsidRDefault="00D516E3">
            <w:pPr>
              <w:rPr>
                <w:color w:val="000000" w:themeColor="text1"/>
              </w:rPr>
            </w:pPr>
            <w:r>
              <w:rPr>
                <w:color w:val="000000" w:themeColor="text1"/>
              </w:rPr>
              <w:t xml:space="preserve">with </w:t>
            </w:r>
          </w:p>
        </w:tc>
        <w:tc>
          <w:tcPr>
            <w:tcW w:w="1122" w:type="dxa"/>
            <w:shd w:val="clear" w:color="auto" w:fill="auto"/>
          </w:tcPr>
          <w:p w14:paraId="6A98DF6E" w14:textId="77777777" w:rsidR="00E72CA9" w:rsidRDefault="00D516E3">
            <w:pPr>
              <w:rPr>
                <w:color w:val="000000" w:themeColor="text1"/>
              </w:rPr>
            </w:pPr>
            <w:r>
              <w:rPr>
                <w:color w:val="000000" w:themeColor="text1"/>
              </w:rPr>
              <w:t xml:space="preserve">with </w:t>
            </w:r>
          </w:p>
        </w:tc>
        <w:tc>
          <w:tcPr>
            <w:tcW w:w="1122" w:type="dxa"/>
            <w:shd w:val="clear" w:color="auto" w:fill="auto"/>
          </w:tcPr>
          <w:p w14:paraId="05C0811E" w14:textId="77777777" w:rsidR="00E72CA9" w:rsidRDefault="00D516E3">
            <w:pPr>
              <w:rPr>
                <w:color w:val="000000" w:themeColor="text1"/>
              </w:rPr>
            </w:pPr>
            <w:r>
              <w:rPr>
                <w:color w:val="000000" w:themeColor="text1"/>
              </w:rPr>
              <w:t xml:space="preserve">with </w:t>
            </w:r>
          </w:p>
        </w:tc>
      </w:tr>
      <w:tr w:rsidR="00E72CA9" w14:paraId="25983410" w14:textId="77777777">
        <w:tc>
          <w:tcPr>
            <w:tcW w:w="3022" w:type="dxa"/>
            <w:shd w:val="clear" w:color="auto" w:fill="auto"/>
          </w:tcPr>
          <w:p w14:paraId="5D572802" w14:textId="77777777" w:rsidR="00E72CA9" w:rsidRDefault="00D516E3">
            <w:pPr>
              <w:rPr>
                <w:color w:val="000000" w:themeColor="text1"/>
              </w:rPr>
            </w:pPr>
            <w:r>
              <w:rPr>
                <w:color w:val="000000" w:themeColor="text1"/>
              </w:rPr>
              <w:t>Chest Lat</w:t>
            </w:r>
          </w:p>
        </w:tc>
        <w:tc>
          <w:tcPr>
            <w:tcW w:w="1120" w:type="dxa"/>
            <w:shd w:val="clear" w:color="auto" w:fill="auto"/>
          </w:tcPr>
          <w:p w14:paraId="73A6ACB1" w14:textId="77777777" w:rsidR="00E72CA9" w:rsidRDefault="00D516E3">
            <w:pPr>
              <w:rPr>
                <w:color w:val="000000" w:themeColor="text1"/>
              </w:rPr>
            </w:pPr>
            <w:r>
              <w:rPr>
                <w:color w:val="000000" w:themeColor="text1"/>
              </w:rPr>
              <w:t>N/A</w:t>
            </w:r>
          </w:p>
        </w:tc>
        <w:tc>
          <w:tcPr>
            <w:tcW w:w="1122" w:type="dxa"/>
            <w:shd w:val="clear" w:color="auto" w:fill="auto"/>
          </w:tcPr>
          <w:p w14:paraId="5C3BE594" w14:textId="77777777" w:rsidR="00E72CA9" w:rsidRDefault="00D516E3">
            <w:pPr>
              <w:rPr>
                <w:color w:val="000000" w:themeColor="text1"/>
              </w:rPr>
            </w:pPr>
            <w:r>
              <w:rPr>
                <w:color w:val="000000" w:themeColor="text1"/>
              </w:rPr>
              <w:t>N/A</w:t>
            </w:r>
          </w:p>
        </w:tc>
        <w:tc>
          <w:tcPr>
            <w:tcW w:w="1122" w:type="dxa"/>
            <w:shd w:val="clear" w:color="auto" w:fill="auto"/>
          </w:tcPr>
          <w:p w14:paraId="00E35289" w14:textId="77777777" w:rsidR="00E72CA9" w:rsidRDefault="00D516E3">
            <w:pPr>
              <w:rPr>
                <w:color w:val="000000" w:themeColor="text1"/>
              </w:rPr>
            </w:pPr>
            <w:r>
              <w:rPr>
                <w:color w:val="000000" w:themeColor="text1"/>
              </w:rPr>
              <w:t>N/A</w:t>
            </w:r>
          </w:p>
        </w:tc>
        <w:tc>
          <w:tcPr>
            <w:tcW w:w="1122" w:type="dxa"/>
            <w:shd w:val="clear" w:color="auto" w:fill="auto"/>
          </w:tcPr>
          <w:p w14:paraId="2BE1F73C" w14:textId="77777777" w:rsidR="00E72CA9" w:rsidRDefault="00D516E3">
            <w:pPr>
              <w:rPr>
                <w:color w:val="000000" w:themeColor="text1"/>
              </w:rPr>
            </w:pPr>
            <w:r>
              <w:rPr>
                <w:color w:val="000000" w:themeColor="text1"/>
              </w:rPr>
              <w:t>N/A</w:t>
            </w:r>
          </w:p>
        </w:tc>
        <w:tc>
          <w:tcPr>
            <w:tcW w:w="1122" w:type="dxa"/>
            <w:shd w:val="clear" w:color="auto" w:fill="auto"/>
          </w:tcPr>
          <w:p w14:paraId="16D68BBF" w14:textId="77777777" w:rsidR="00E72CA9" w:rsidRDefault="00D516E3">
            <w:pPr>
              <w:rPr>
                <w:color w:val="000000" w:themeColor="text1"/>
              </w:rPr>
            </w:pPr>
            <w:r>
              <w:rPr>
                <w:color w:val="000000" w:themeColor="text1"/>
              </w:rPr>
              <w:t>N/A</w:t>
            </w:r>
          </w:p>
        </w:tc>
        <w:tc>
          <w:tcPr>
            <w:tcW w:w="1122" w:type="dxa"/>
            <w:shd w:val="clear" w:color="auto" w:fill="auto"/>
          </w:tcPr>
          <w:p w14:paraId="3FBBE049" w14:textId="77777777" w:rsidR="00E72CA9" w:rsidRDefault="00D516E3">
            <w:pPr>
              <w:rPr>
                <w:color w:val="000000" w:themeColor="text1"/>
              </w:rPr>
            </w:pPr>
            <w:r>
              <w:rPr>
                <w:color w:val="000000" w:themeColor="text1"/>
              </w:rPr>
              <w:t>without</w:t>
            </w:r>
          </w:p>
        </w:tc>
      </w:tr>
      <w:tr w:rsidR="00E72CA9" w14:paraId="0CFD1D91" w14:textId="77777777">
        <w:tc>
          <w:tcPr>
            <w:tcW w:w="3022" w:type="dxa"/>
            <w:shd w:val="clear" w:color="auto" w:fill="auto"/>
          </w:tcPr>
          <w:p w14:paraId="5B121C62" w14:textId="77777777" w:rsidR="00E72CA9" w:rsidRDefault="00D516E3">
            <w:pPr>
              <w:rPr>
                <w:color w:val="000000" w:themeColor="text1"/>
              </w:rPr>
            </w:pPr>
            <w:r>
              <w:rPr>
                <w:color w:val="000000" w:themeColor="text1"/>
              </w:rPr>
              <w:t>Pelvis AP</w:t>
            </w:r>
          </w:p>
        </w:tc>
        <w:tc>
          <w:tcPr>
            <w:tcW w:w="1120" w:type="dxa"/>
            <w:shd w:val="clear" w:color="auto" w:fill="auto"/>
          </w:tcPr>
          <w:p w14:paraId="60D7BBE2" w14:textId="77777777" w:rsidR="00E72CA9" w:rsidRDefault="00D516E3">
            <w:pPr>
              <w:rPr>
                <w:color w:val="000000" w:themeColor="text1"/>
              </w:rPr>
            </w:pPr>
            <w:r>
              <w:rPr>
                <w:color w:val="000000" w:themeColor="text1"/>
              </w:rPr>
              <w:t>with</w:t>
            </w:r>
          </w:p>
        </w:tc>
        <w:tc>
          <w:tcPr>
            <w:tcW w:w="1122" w:type="dxa"/>
            <w:shd w:val="clear" w:color="auto" w:fill="auto"/>
          </w:tcPr>
          <w:p w14:paraId="4F4FB69A" w14:textId="77777777" w:rsidR="00E72CA9" w:rsidRDefault="00D516E3">
            <w:pPr>
              <w:rPr>
                <w:color w:val="000000" w:themeColor="text1"/>
              </w:rPr>
            </w:pPr>
            <w:r>
              <w:rPr>
                <w:color w:val="000000" w:themeColor="text1"/>
              </w:rPr>
              <w:t>with</w:t>
            </w:r>
          </w:p>
        </w:tc>
        <w:tc>
          <w:tcPr>
            <w:tcW w:w="1122" w:type="dxa"/>
            <w:shd w:val="clear" w:color="auto" w:fill="auto"/>
          </w:tcPr>
          <w:p w14:paraId="401D0232" w14:textId="77777777" w:rsidR="00E72CA9" w:rsidRDefault="00D516E3">
            <w:pPr>
              <w:rPr>
                <w:color w:val="000000" w:themeColor="text1"/>
              </w:rPr>
            </w:pPr>
            <w:r>
              <w:rPr>
                <w:color w:val="000000" w:themeColor="text1"/>
              </w:rPr>
              <w:t>without</w:t>
            </w:r>
          </w:p>
        </w:tc>
        <w:tc>
          <w:tcPr>
            <w:tcW w:w="1122" w:type="dxa"/>
            <w:shd w:val="clear" w:color="auto" w:fill="auto"/>
          </w:tcPr>
          <w:p w14:paraId="33EA003F" w14:textId="77777777" w:rsidR="00E72CA9" w:rsidRDefault="00D516E3">
            <w:pPr>
              <w:rPr>
                <w:color w:val="000000" w:themeColor="text1"/>
              </w:rPr>
            </w:pPr>
            <w:r>
              <w:rPr>
                <w:color w:val="000000" w:themeColor="text1"/>
              </w:rPr>
              <w:t>without</w:t>
            </w:r>
          </w:p>
        </w:tc>
        <w:tc>
          <w:tcPr>
            <w:tcW w:w="1122" w:type="dxa"/>
            <w:shd w:val="clear" w:color="auto" w:fill="auto"/>
          </w:tcPr>
          <w:p w14:paraId="331840B0" w14:textId="77777777" w:rsidR="00E72CA9" w:rsidRDefault="00D516E3">
            <w:pPr>
              <w:rPr>
                <w:color w:val="000000" w:themeColor="text1"/>
              </w:rPr>
            </w:pPr>
            <w:r>
              <w:rPr>
                <w:color w:val="000000" w:themeColor="text1"/>
              </w:rPr>
              <w:t>without</w:t>
            </w:r>
          </w:p>
        </w:tc>
        <w:tc>
          <w:tcPr>
            <w:tcW w:w="1122" w:type="dxa"/>
            <w:shd w:val="clear" w:color="auto" w:fill="auto"/>
          </w:tcPr>
          <w:p w14:paraId="44766492" w14:textId="77777777" w:rsidR="00E72CA9" w:rsidRDefault="00D516E3">
            <w:pPr>
              <w:rPr>
                <w:color w:val="000000" w:themeColor="text1"/>
              </w:rPr>
            </w:pPr>
            <w:r>
              <w:rPr>
                <w:color w:val="000000" w:themeColor="text1"/>
              </w:rPr>
              <w:t>without</w:t>
            </w:r>
          </w:p>
        </w:tc>
      </w:tr>
      <w:tr w:rsidR="00E72CA9" w14:paraId="3017E84E" w14:textId="77777777">
        <w:tc>
          <w:tcPr>
            <w:tcW w:w="3022" w:type="dxa"/>
            <w:shd w:val="clear" w:color="auto" w:fill="auto"/>
          </w:tcPr>
          <w:p w14:paraId="6564060F" w14:textId="77777777" w:rsidR="00E72CA9" w:rsidRDefault="00D516E3">
            <w:pPr>
              <w:rPr>
                <w:color w:val="000000" w:themeColor="text1"/>
              </w:rPr>
            </w:pPr>
            <w:r>
              <w:rPr>
                <w:color w:val="000000" w:themeColor="text1"/>
              </w:rPr>
              <w:t>Abdomen AP</w:t>
            </w:r>
          </w:p>
        </w:tc>
        <w:tc>
          <w:tcPr>
            <w:tcW w:w="1120" w:type="dxa"/>
            <w:shd w:val="clear" w:color="auto" w:fill="auto"/>
          </w:tcPr>
          <w:p w14:paraId="49496B1B" w14:textId="77777777" w:rsidR="00E72CA9" w:rsidRDefault="00D516E3">
            <w:pPr>
              <w:rPr>
                <w:color w:val="000000" w:themeColor="text1"/>
              </w:rPr>
            </w:pPr>
            <w:r>
              <w:rPr>
                <w:color w:val="000000" w:themeColor="text1"/>
              </w:rPr>
              <w:t>with</w:t>
            </w:r>
          </w:p>
        </w:tc>
        <w:tc>
          <w:tcPr>
            <w:tcW w:w="1122" w:type="dxa"/>
            <w:shd w:val="clear" w:color="auto" w:fill="auto"/>
          </w:tcPr>
          <w:p w14:paraId="209EB5BD" w14:textId="77777777" w:rsidR="00E72CA9" w:rsidRDefault="00D516E3">
            <w:pPr>
              <w:rPr>
                <w:color w:val="000000" w:themeColor="text1"/>
              </w:rPr>
            </w:pPr>
            <w:r>
              <w:rPr>
                <w:color w:val="000000" w:themeColor="text1"/>
              </w:rPr>
              <w:t>with</w:t>
            </w:r>
          </w:p>
        </w:tc>
        <w:tc>
          <w:tcPr>
            <w:tcW w:w="1122" w:type="dxa"/>
            <w:shd w:val="clear" w:color="auto" w:fill="auto"/>
          </w:tcPr>
          <w:p w14:paraId="03AEDFB7" w14:textId="77777777" w:rsidR="00E72CA9" w:rsidRDefault="00D516E3">
            <w:pPr>
              <w:rPr>
                <w:color w:val="000000" w:themeColor="text1"/>
              </w:rPr>
            </w:pPr>
            <w:r>
              <w:rPr>
                <w:color w:val="000000" w:themeColor="text1"/>
              </w:rPr>
              <w:t>without</w:t>
            </w:r>
          </w:p>
        </w:tc>
        <w:tc>
          <w:tcPr>
            <w:tcW w:w="1122" w:type="dxa"/>
            <w:shd w:val="clear" w:color="auto" w:fill="auto"/>
          </w:tcPr>
          <w:p w14:paraId="66C930F7" w14:textId="77777777" w:rsidR="00E72CA9" w:rsidRDefault="00D516E3">
            <w:pPr>
              <w:rPr>
                <w:color w:val="000000" w:themeColor="text1"/>
              </w:rPr>
            </w:pPr>
            <w:r>
              <w:rPr>
                <w:color w:val="000000" w:themeColor="text1"/>
              </w:rPr>
              <w:t>without</w:t>
            </w:r>
          </w:p>
        </w:tc>
        <w:tc>
          <w:tcPr>
            <w:tcW w:w="1122" w:type="dxa"/>
            <w:shd w:val="clear" w:color="auto" w:fill="auto"/>
          </w:tcPr>
          <w:p w14:paraId="4F686A7E" w14:textId="77777777" w:rsidR="00E72CA9" w:rsidRDefault="00D516E3">
            <w:pPr>
              <w:rPr>
                <w:color w:val="000000" w:themeColor="text1"/>
              </w:rPr>
            </w:pPr>
            <w:r>
              <w:rPr>
                <w:color w:val="000000" w:themeColor="text1"/>
              </w:rPr>
              <w:t>without</w:t>
            </w:r>
          </w:p>
        </w:tc>
        <w:tc>
          <w:tcPr>
            <w:tcW w:w="1122" w:type="dxa"/>
            <w:shd w:val="clear" w:color="auto" w:fill="auto"/>
          </w:tcPr>
          <w:p w14:paraId="73CA39CA" w14:textId="77777777" w:rsidR="00E72CA9" w:rsidRDefault="00D516E3">
            <w:pPr>
              <w:rPr>
                <w:color w:val="000000" w:themeColor="text1"/>
              </w:rPr>
            </w:pPr>
            <w:r>
              <w:rPr>
                <w:color w:val="000000" w:themeColor="text1"/>
              </w:rPr>
              <w:t>without</w:t>
            </w:r>
          </w:p>
        </w:tc>
      </w:tr>
      <w:tr w:rsidR="00E72CA9" w14:paraId="433E52C1" w14:textId="77777777">
        <w:tc>
          <w:tcPr>
            <w:tcW w:w="3022" w:type="dxa"/>
            <w:shd w:val="clear" w:color="auto" w:fill="auto"/>
          </w:tcPr>
          <w:p w14:paraId="2037BDCC" w14:textId="77777777" w:rsidR="00E72CA9" w:rsidRDefault="00D516E3">
            <w:pPr>
              <w:rPr>
                <w:color w:val="000000" w:themeColor="text1"/>
              </w:rPr>
            </w:pPr>
            <w:r>
              <w:rPr>
                <w:color w:val="000000" w:themeColor="text1"/>
              </w:rPr>
              <w:t>Lumbar spine AP</w:t>
            </w:r>
          </w:p>
        </w:tc>
        <w:tc>
          <w:tcPr>
            <w:tcW w:w="1120" w:type="dxa"/>
            <w:shd w:val="clear" w:color="auto" w:fill="auto"/>
          </w:tcPr>
          <w:p w14:paraId="1578FD33" w14:textId="77777777" w:rsidR="00E72CA9" w:rsidRDefault="00D516E3">
            <w:pPr>
              <w:rPr>
                <w:color w:val="000000" w:themeColor="text1"/>
              </w:rPr>
            </w:pPr>
            <w:r>
              <w:rPr>
                <w:color w:val="000000" w:themeColor="text1"/>
              </w:rPr>
              <w:t>with</w:t>
            </w:r>
          </w:p>
        </w:tc>
        <w:tc>
          <w:tcPr>
            <w:tcW w:w="1122" w:type="dxa"/>
            <w:shd w:val="clear" w:color="auto" w:fill="auto"/>
          </w:tcPr>
          <w:p w14:paraId="5D9648F2" w14:textId="77777777" w:rsidR="00E72CA9" w:rsidRDefault="00D516E3">
            <w:pPr>
              <w:rPr>
                <w:color w:val="000000" w:themeColor="text1"/>
              </w:rPr>
            </w:pPr>
            <w:r>
              <w:rPr>
                <w:color w:val="000000" w:themeColor="text1"/>
              </w:rPr>
              <w:t>with</w:t>
            </w:r>
          </w:p>
        </w:tc>
        <w:tc>
          <w:tcPr>
            <w:tcW w:w="1122" w:type="dxa"/>
            <w:shd w:val="clear" w:color="auto" w:fill="auto"/>
          </w:tcPr>
          <w:p w14:paraId="69794753" w14:textId="77777777" w:rsidR="00E72CA9" w:rsidRDefault="00D516E3">
            <w:pPr>
              <w:rPr>
                <w:color w:val="000000" w:themeColor="text1"/>
              </w:rPr>
            </w:pPr>
            <w:r>
              <w:rPr>
                <w:color w:val="000000" w:themeColor="text1"/>
              </w:rPr>
              <w:t>with</w:t>
            </w:r>
            <w:r>
              <w:rPr>
                <w:color w:val="000000" w:themeColor="text1"/>
                <w:vertAlign w:val="superscript"/>
              </w:rPr>
              <w:t xml:space="preserve"> </w:t>
            </w:r>
          </w:p>
        </w:tc>
        <w:tc>
          <w:tcPr>
            <w:tcW w:w="1122" w:type="dxa"/>
            <w:shd w:val="clear" w:color="auto" w:fill="auto"/>
          </w:tcPr>
          <w:p w14:paraId="6CB22C11" w14:textId="77777777" w:rsidR="00E72CA9" w:rsidRDefault="00D516E3">
            <w:pPr>
              <w:rPr>
                <w:color w:val="000000" w:themeColor="text1"/>
              </w:rPr>
            </w:pPr>
            <w:r>
              <w:rPr>
                <w:color w:val="000000" w:themeColor="text1"/>
              </w:rPr>
              <w:t>with</w:t>
            </w:r>
            <w:r>
              <w:rPr>
                <w:color w:val="000000" w:themeColor="text1"/>
                <w:vertAlign w:val="superscript"/>
              </w:rPr>
              <w:t xml:space="preserve"> </w:t>
            </w:r>
          </w:p>
        </w:tc>
        <w:tc>
          <w:tcPr>
            <w:tcW w:w="1122" w:type="dxa"/>
            <w:shd w:val="clear" w:color="auto" w:fill="auto"/>
          </w:tcPr>
          <w:p w14:paraId="0A517E1E" w14:textId="77777777" w:rsidR="00E72CA9" w:rsidRDefault="00D516E3">
            <w:pPr>
              <w:rPr>
                <w:color w:val="000000" w:themeColor="text1"/>
              </w:rPr>
            </w:pPr>
            <w:r>
              <w:rPr>
                <w:color w:val="000000" w:themeColor="text1"/>
              </w:rPr>
              <w:t>with</w:t>
            </w:r>
            <w:r>
              <w:rPr>
                <w:color w:val="000000" w:themeColor="text1"/>
                <w:vertAlign w:val="superscript"/>
              </w:rPr>
              <w:t xml:space="preserve"> </w:t>
            </w:r>
          </w:p>
        </w:tc>
        <w:tc>
          <w:tcPr>
            <w:tcW w:w="1122" w:type="dxa"/>
            <w:shd w:val="clear" w:color="auto" w:fill="auto"/>
          </w:tcPr>
          <w:p w14:paraId="735FF4C6" w14:textId="77777777" w:rsidR="00E72CA9" w:rsidRDefault="00D516E3">
            <w:pPr>
              <w:rPr>
                <w:color w:val="000000" w:themeColor="text1"/>
              </w:rPr>
            </w:pPr>
            <w:r>
              <w:rPr>
                <w:color w:val="000000" w:themeColor="text1"/>
              </w:rPr>
              <w:t>with</w:t>
            </w:r>
          </w:p>
        </w:tc>
      </w:tr>
      <w:tr w:rsidR="00E72CA9" w14:paraId="30825E65" w14:textId="77777777">
        <w:tc>
          <w:tcPr>
            <w:tcW w:w="3022" w:type="dxa"/>
            <w:shd w:val="clear" w:color="auto" w:fill="auto"/>
          </w:tcPr>
          <w:p w14:paraId="48F995A6" w14:textId="77777777" w:rsidR="00E72CA9" w:rsidRDefault="00D516E3">
            <w:pPr>
              <w:rPr>
                <w:color w:val="000000" w:themeColor="text1"/>
              </w:rPr>
            </w:pPr>
            <w:r>
              <w:rPr>
                <w:color w:val="000000" w:themeColor="text1"/>
              </w:rPr>
              <w:t>Lumbar spine Lat</w:t>
            </w:r>
          </w:p>
        </w:tc>
        <w:tc>
          <w:tcPr>
            <w:tcW w:w="1120" w:type="dxa"/>
            <w:shd w:val="clear" w:color="auto" w:fill="auto"/>
          </w:tcPr>
          <w:p w14:paraId="29EECB7C" w14:textId="77777777" w:rsidR="00E72CA9" w:rsidRDefault="00D516E3">
            <w:pPr>
              <w:rPr>
                <w:color w:val="000000" w:themeColor="text1"/>
              </w:rPr>
            </w:pPr>
            <w:r>
              <w:rPr>
                <w:color w:val="000000" w:themeColor="text1"/>
              </w:rPr>
              <w:t>without</w:t>
            </w:r>
          </w:p>
        </w:tc>
        <w:tc>
          <w:tcPr>
            <w:tcW w:w="1122" w:type="dxa"/>
            <w:shd w:val="clear" w:color="auto" w:fill="auto"/>
          </w:tcPr>
          <w:p w14:paraId="49012724" w14:textId="77777777" w:rsidR="00E72CA9" w:rsidRDefault="00D516E3">
            <w:pPr>
              <w:rPr>
                <w:color w:val="000000" w:themeColor="text1"/>
              </w:rPr>
            </w:pPr>
            <w:r>
              <w:rPr>
                <w:color w:val="000000" w:themeColor="text1"/>
              </w:rPr>
              <w:t>without</w:t>
            </w:r>
          </w:p>
        </w:tc>
        <w:tc>
          <w:tcPr>
            <w:tcW w:w="1122" w:type="dxa"/>
            <w:shd w:val="clear" w:color="auto" w:fill="auto"/>
          </w:tcPr>
          <w:p w14:paraId="4C477AC7" w14:textId="77777777" w:rsidR="00E72CA9" w:rsidRDefault="00D516E3">
            <w:pPr>
              <w:rPr>
                <w:color w:val="000000" w:themeColor="text1"/>
              </w:rPr>
            </w:pPr>
            <w:r>
              <w:rPr>
                <w:color w:val="000000" w:themeColor="text1"/>
              </w:rPr>
              <w:t>without</w:t>
            </w:r>
          </w:p>
        </w:tc>
        <w:tc>
          <w:tcPr>
            <w:tcW w:w="1122" w:type="dxa"/>
            <w:shd w:val="clear" w:color="auto" w:fill="auto"/>
          </w:tcPr>
          <w:p w14:paraId="6D3DF0F1" w14:textId="77777777" w:rsidR="00E72CA9" w:rsidRDefault="00D516E3">
            <w:pPr>
              <w:rPr>
                <w:color w:val="000000" w:themeColor="text1"/>
              </w:rPr>
            </w:pPr>
            <w:r>
              <w:rPr>
                <w:color w:val="000000" w:themeColor="text1"/>
              </w:rPr>
              <w:t>without</w:t>
            </w:r>
          </w:p>
        </w:tc>
        <w:tc>
          <w:tcPr>
            <w:tcW w:w="1122" w:type="dxa"/>
            <w:shd w:val="clear" w:color="auto" w:fill="auto"/>
          </w:tcPr>
          <w:p w14:paraId="7C5146C8" w14:textId="77777777" w:rsidR="00E72CA9" w:rsidRDefault="00D516E3">
            <w:pPr>
              <w:rPr>
                <w:color w:val="000000" w:themeColor="text1"/>
              </w:rPr>
            </w:pPr>
            <w:r>
              <w:rPr>
                <w:color w:val="000000" w:themeColor="text1"/>
              </w:rPr>
              <w:t>without</w:t>
            </w:r>
          </w:p>
        </w:tc>
        <w:tc>
          <w:tcPr>
            <w:tcW w:w="1122" w:type="dxa"/>
            <w:shd w:val="clear" w:color="auto" w:fill="auto"/>
          </w:tcPr>
          <w:p w14:paraId="551562F6" w14:textId="77777777" w:rsidR="00E72CA9" w:rsidRDefault="00D516E3">
            <w:pPr>
              <w:rPr>
                <w:color w:val="000000" w:themeColor="text1"/>
              </w:rPr>
            </w:pPr>
            <w:r>
              <w:rPr>
                <w:color w:val="000000" w:themeColor="text1"/>
              </w:rPr>
              <w:t>without</w:t>
            </w:r>
          </w:p>
        </w:tc>
      </w:tr>
      <w:tr w:rsidR="00E72CA9" w14:paraId="275C5EF5" w14:textId="77777777">
        <w:tc>
          <w:tcPr>
            <w:tcW w:w="3022" w:type="dxa"/>
            <w:shd w:val="clear" w:color="auto" w:fill="auto"/>
          </w:tcPr>
          <w:p w14:paraId="146C192B" w14:textId="77777777" w:rsidR="00E72CA9" w:rsidRDefault="00D516E3">
            <w:pPr>
              <w:rPr>
                <w:color w:val="000000" w:themeColor="text1"/>
              </w:rPr>
            </w:pPr>
            <w:r>
              <w:rPr>
                <w:color w:val="000000" w:themeColor="text1"/>
              </w:rPr>
              <w:t>Lumbar spine oblique</w:t>
            </w:r>
          </w:p>
        </w:tc>
        <w:tc>
          <w:tcPr>
            <w:tcW w:w="1120" w:type="dxa"/>
            <w:shd w:val="clear" w:color="auto" w:fill="auto"/>
          </w:tcPr>
          <w:p w14:paraId="120E3D3F" w14:textId="77777777" w:rsidR="00E72CA9" w:rsidRDefault="00D516E3">
            <w:pPr>
              <w:rPr>
                <w:color w:val="000000" w:themeColor="text1"/>
              </w:rPr>
            </w:pPr>
            <w:r>
              <w:rPr>
                <w:color w:val="000000" w:themeColor="text1"/>
              </w:rPr>
              <w:t>N/A</w:t>
            </w:r>
          </w:p>
        </w:tc>
        <w:tc>
          <w:tcPr>
            <w:tcW w:w="1122" w:type="dxa"/>
            <w:shd w:val="clear" w:color="auto" w:fill="auto"/>
          </w:tcPr>
          <w:p w14:paraId="47505D52" w14:textId="77777777" w:rsidR="00E72CA9" w:rsidRDefault="00D516E3">
            <w:pPr>
              <w:rPr>
                <w:color w:val="000000" w:themeColor="text1"/>
              </w:rPr>
            </w:pPr>
            <w:r>
              <w:rPr>
                <w:color w:val="000000" w:themeColor="text1"/>
              </w:rPr>
              <w:t>N/A</w:t>
            </w:r>
          </w:p>
        </w:tc>
        <w:tc>
          <w:tcPr>
            <w:tcW w:w="1122" w:type="dxa"/>
            <w:shd w:val="clear" w:color="auto" w:fill="auto"/>
          </w:tcPr>
          <w:p w14:paraId="7118FEE8" w14:textId="77777777" w:rsidR="00E72CA9" w:rsidRDefault="00D516E3">
            <w:pPr>
              <w:rPr>
                <w:color w:val="000000" w:themeColor="text1"/>
              </w:rPr>
            </w:pPr>
            <w:r>
              <w:rPr>
                <w:color w:val="000000" w:themeColor="text1"/>
              </w:rPr>
              <w:t>N/A</w:t>
            </w:r>
          </w:p>
        </w:tc>
        <w:tc>
          <w:tcPr>
            <w:tcW w:w="1122" w:type="dxa"/>
            <w:shd w:val="clear" w:color="auto" w:fill="auto"/>
          </w:tcPr>
          <w:p w14:paraId="66F80E9A" w14:textId="77777777" w:rsidR="00E72CA9" w:rsidRDefault="00D516E3">
            <w:pPr>
              <w:rPr>
                <w:color w:val="000000" w:themeColor="text1"/>
              </w:rPr>
            </w:pPr>
            <w:r>
              <w:rPr>
                <w:color w:val="000000" w:themeColor="text1"/>
              </w:rPr>
              <w:t>N/A</w:t>
            </w:r>
          </w:p>
        </w:tc>
        <w:tc>
          <w:tcPr>
            <w:tcW w:w="1122" w:type="dxa"/>
            <w:shd w:val="clear" w:color="auto" w:fill="auto"/>
          </w:tcPr>
          <w:p w14:paraId="555521C1" w14:textId="77777777" w:rsidR="00E72CA9" w:rsidRDefault="00D516E3">
            <w:pPr>
              <w:rPr>
                <w:color w:val="000000" w:themeColor="text1"/>
              </w:rPr>
            </w:pPr>
            <w:r>
              <w:rPr>
                <w:color w:val="000000" w:themeColor="text1"/>
              </w:rPr>
              <w:t>N/A</w:t>
            </w:r>
          </w:p>
        </w:tc>
        <w:tc>
          <w:tcPr>
            <w:tcW w:w="1122" w:type="dxa"/>
            <w:shd w:val="clear" w:color="auto" w:fill="auto"/>
          </w:tcPr>
          <w:p w14:paraId="3DFCD3F6" w14:textId="77777777" w:rsidR="00E72CA9" w:rsidRDefault="00D516E3">
            <w:pPr>
              <w:rPr>
                <w:color w:val="000000" w:themeColor="text1"/>
              </w:rPr>
            </w:pPr>
            <w:r>
              <w:rPr>
                <w:color w:val="000000" w:themeColor="text1"/>
              </w:rPr>
              <w:t>without</w:t>
            </w:r>
          </w:p>
        </w:tc>
      </w:tr>
      <w:tr w:rsidR="00E72CA9" w14:paraId="3DAF959B" w14:textId="77777777">
        <w:tc>
          <w:tcPr>
            <w:tcW w:w="3022" w:type="dxa"/>
            <w:shd w:val="clear" w:color="auto" w:fill="auto"/>
          </w:tcPr>
          <w:p w14:paraId="1DB3A7A3" w14:textId="77777777" w:rsidR="00E72CA9" w:rsidRDefault="00D516E3">
            <w:pPr>
              <w:rPr>
                <w:color w:val="000000" w:themeColor="text1"/>
              </w:rPr>
            </w:pPr>
            <w:r>
              <w:rPr>
                <w:color w:val="000000" w:themeColor="text1"/>
              </w:rPr>
              <w:t>Cervical spine AP</w:t>
            </w:r>
          </w:p>
        </w:tc>
        <w:tc>
          <w:tcPr>
            <w:tcW w:w="1120" w:type="dxa"/>
            <w:shd w:val="clear" w:color="auto" w:fill="auto"/>
          </w:tcPr>
          <w:p w14:paraId="1032C866" w14:textId="77777777" w:rsidR="00E72CA9" w:rsidRDefault="00D516E3">
            <w:pPr>
              <w:rPr>
                <w:color w:val="000000" w:themeColor="text1"/>
              </w:rPr>
            </w:pPr>
            <w:r>
              <w:rPr>
                <w:color w:val="000000" w:themeColor="text1"/>
              </w:rPr>
              <w:t>N/A</w:t>
            </w:r>
          </w:p>
        </w:tc>
        <w:tc>
          <w:tcPr>
            <w:tcW w:w="1122" w:type="dxa"/>
            <w:shd w:val="clear" w:color="auto" w:fill="auto"/>
          </w:tcPr>
          <w:p w14:paraId="073E9CAB" w14:textId="77777777" w:rsidR="00E72CA9" w:rsidRDefault="00D516E3">
            <w:pPr>
              <w:rPr>
                <w:color w:val="000000" w:themeColor="text1"/>
              </w:rPr>
            </w:pPr>
            <w:r>
              <w:rPr>
                <w:color w:val="000000" w:themeColor="text1"/>
              </w:rPr>
              <w:t>N/A</w:t>
            </w:r>
          </w:p>
        </w:tc>
        <w:tc>
          <w:tcPr>
            <w:tcW w:w="1122" w:type="dxa"/>
            <w:shd w:val="clear" w:color="auto" w:fill="auto"/>
          </w:tcPr>
          <w:p w14:paraId="080CF4A9" w14:textId="77777777" w:rsidR="00E72CA9" w:rsidRDefault="00D516E3">
            <w:pPr>
              <w:rPr>
                <w:color w:val="000000" w:themeColor="text1"/>
              </w:rPr>
            </w:pPr>
            <w:r>
              <w:rPr>
                <w:color w:val="000000" w:themeColor="text1"/>
              </w:rPr>
              <w:t>N/A</w:t>
            </w:r>
          </w:p>
        </w:tc>
        <w:tc>
          <w:tcPr>
            <w:tcW w:w="1122" w:type="dxa"/>
            <w:shd w:val="clear" w:color="auto" w:fill="auto"/>
          </w:tcPr>
          <w:p w14:paraId="7412B522" w14:textId="77777777" w:rsidR="00E72CA9" w:rsidRDefault="00D516E3">
            <w:pPr>
              <w:rPr>
                <w:color w:val="000000" w:themeColor="text1"/>
              </w:rPr>
            </w:pPr>
            <w:r>
              <w:rPr>
                <w:color w:val="000000" w:themeColor="text1"/>
              </w:rPr>
              <w:t>N/A</w:t>
            </w:r>
          </w:p>
        </w:tc>
        <w:tc>
          <w:tcPr>
            <w:tcW w:w="1122" w:type="dxa"/>
            <w:shd w:val="clear" w:color="auto" w:fill="auto"/>
          </w:tcPr>
          <w:p w14:paraId="0CBBCCF8" w14:textId="77777777" w:rsidR="00E72CA9" w:rsidRDefault="00D516E3">
            <w:pPr>
              <w:rPr>
                <w:color w:val="000000" w:themeColor="text1"/>
              </w:rPr>
            </w:pPr>
            <w:r>
              <w:rPr>
                <w:color w:val="000000" w:themeColor="text1"/>
              </w:rPr>
              <w:t>N/A</w:t>
            </w:r>
          </w:p>
        </w:tc>
        <w:tc>
          <w:tcPr>
            <w:tcW w:w="1122" w:type="dxa"/>
            <w:shd w:val="clear" w:color="auto" w:fill="auto"/>
          </w:tcPr>
          <w:p w14:paraId="1BB30410" w14:textId="77777777" w:rsidR="00E72CA9" w:rsidRDefault="00D516E3">
            <w:pPr>
              <w:rPr>
                <w:color w:val="000000" w:themeColor="text1"/>
              </w:rPr>
            </w:pPr>
            <w:r>
              <w:rPr>
                <w:color w:val="000000" w:themeColor="text1"/>
              </w:rPr>
              <w:t>with</w:t>
            </w:r>
          </w:p>
        </w:tc>
      </w:tr>
      <w:tr w:rsidR="00E72CA9" w14:paraId="7DAAB385" w14:textId="77777777">
        <w:tc>
          <w:tcPr>
            <w:tcW w:w="3022" w:type="dxa"/>
            <w:shd w:val="clear" w:color="auto" w:fill="auto"/>
          </w:tcPr>
          <w:p w14:paraId="140B3334" w14:textId="77777777" w:rsidR="00E72CA9" w:rsidRDefault="00D516E3">
            <w:pPr>
              <w:rPr>
                <w:color w:val="000000" w:themeColor="text1"/>
              </w:rPr>
            </w:pPr>
            <w:r>
              <w:rPr>
                <w:color w:val="000000" w:themeColor="text1"/>
              </w:rPr>
              <w:t>Cervical spine Lat</w:t>
            </w:r>
          </w:p>
        </w:tc>
        <w:tc>
          <w:tcPr>
            <w:tcW w:w="1120" w:type="dxa"/>
            <w:shd w:val="clear" w:color="auto" w:fill="auto"/>
          </w:tcPr>
          <w:p w14:paraId="0CB807D8" w14:textId="77777777" w:rsidR="00E72CA9" w:rsidRDefault="00D516E3">
            <w:pPr>
              <w:rPr>
                <w:strike/>
                <w:color w:val="000000" w:themeColor="text1"/>
              </w:rPr>
            </w:pPr>
            <w:r>
              <w:rPr>
                <w:color w:val="000000" w:themeColor="text1"/>
              </w:rPr>
              <w:t>N/A</w:t>
            </w:r>
          </w:p>
        </w:tc>
        <w:tc>
          <w:tcPr>
            <w:tcW w:w="1122" w:type="dxa"/>
            <w:shd w:val="clear" w:color="auto" w:fill="auto"/>
          </w:tcPr>
          <w:p w14:paraId="0B11948E" w14:textId="77777777" w:rsidR="00E72CA9" w:rsidRDefault="00D516E3">
            <w:pPr>
              <w:rPr>
                <w:strike/>
                <w:color w:val="000000" w:themeColor="text1"/>
              </w:rPr>
            </w:pPr>
            <w:r>
              <w:rPr>
                <w:color w:val="000000" w:themeColor="text1"/>
              </w:rPr>
              <w:t>N/A</w:t>
            </w:r>
          </w:p>
        </w:tc>
        <w:tc>
          <w:tcPr>
            <w:tcW w:w="1122" w:type="dxa"/>
            <w:shd w:val="clear" w:color="auto" w:fill="auto"/>
          </w:tcPr>
          <w:p w14:paraId="3C7CD012" w14:textId="77777777" w:rsidR="00E72CA9" w:rsidRDefault="00D516E3">
            <w:pPr>
              <w:rPr>
                <w:strike/>
                <w:color w:val="000000" w:themeColor="text1"/>
              </w:rPr>
            </w:pPr>
            <w:r>
              <w:rPr>
                <w:color w:val="000000" w:themeColor="text1"/>
              </w:rPr>
              <w:t>N/A</w:t>
            </w:r>
          </w:p>
        </w:tc>
        <w:tc>
          <w:tcPr>
            <w:tcW w:w="1122" w:type="dxa"/>
            <w:shd w:val="clear" w:color="auto" w:fill="auto"/>
          </w:tcPr>
          <w:p w14:paraId="1B471D21" w14:textId="77777777" w:rsidR="00E72CA9" w:rsidRDefault="00D516E3">
            <w:pPr>
              <w:rPr>
                <w:strike/>
                <w:color w:val="000000" w:themeColor="text1"/>
              </w:rPr>
            </w:pPr>
            <w:r>
              <w:rPr>
                <w:color w:val="000000" w:themeColor="text1"/>
              </w:rPr>
              <w:t>N/A</w:t>
            </w:r>
          </w:p>
        </w:tc>
        <w:tc>
          <w:tcPr>
            <w:tcW w:w="1122" w:type="dxa"/>
            <w:shd w:val="clear" w:color="auto" w:fill="auto"/>
          </w:tcPr>
          <w:p w14:paraId="1235459F" w14:textId="77777777" w:rsidR="00E72CA9" w:rsidRDefault="00D516E3">
            <w:pPr>
              <w:rPr>
                <w:strike/>
                <w:color w:val="000000" w:themeColor="text1"/>
              </w:rPr>
            </w:pPr>
            <w:r>
              <w:rPr>
                <w:color w:val="000000" w:themeColor="text1"/>
              </w:rPr>
              <w:t>N/A</w:t>
            </w:r>
          </w:p>
        </w:tc>
        <w:tc>
          <w:tcPr>
            <w:tcW w:w="1122" w:type="dxa"/>
            <w:shd w:val="clear" w:color="auto" w:fill="auto"/>
          </w:tcPr>
          <w:p w14:paraId="20BC94F1" w14:textId="77777777" w:rsidR="00E72CA9" w:rsidRDefault="00D516E3">
            <w:pPr>
              <w:rPr>
                <w:color w:val="000000" w:themeColor="text1"/>
              </w:rPr>
            </w:pPr>
            <w:r>
              <w:rPr>
                <w:color w:val="000000" w:themeColor="text1"/>
              </w:rPr>
              <w:t>without</w:t>
            </w:r>
          </w:p>
        </w:tc>
      </w:tr>
      <w:tr w:rsidR="00E72CA9" w14:paraId="4691CDE6" w14:textId="77777777">
        <w:tc>
          <w:tcPr>
            <w:tcW w:w="3022" w:type="dxa"/>
            <w:shd w:val="clear" w:color="auto" w:fill="auto"/>
          </w:tcPr>
          <w:p w14:paraId="18B5EA95" w14:textId="77777777" w:rsidR="00E72CA9" w:rsidRDefault="00D516E3">
            <w:pPr>
              <w:rPr>
                <w:color w:val="000000" w:themeColor="text1"/>
              </w:rPr>
            </w:pPr>
            <w:r>
              <w:rPr>
                <w:color w:val="000000" w:themeColor="text1"/>
              </w:rPr>
              <w:t>Thoracic spine AP</w:t>
            </w:r>
          </w:p>
        </w:tc>
        <w:tc>
          <w:tcPr>
            <w:tcW w:w="1120" w:type="dxa"/>
            <w:shd w:val="clear" w:color="auto" w:fill="auto"/>
          </w:tcPr>
          <w:p w14:paraId="15F513F3" w14:textId="77777777" w:rsidR="00E72CA9" w:rsidRDefault="00D516E3">
            <w:pPr>
              <w:rPr>
                <w:strike/>
                <w:color w:val="000000" w:themeColor="text1"/>
              </w:rPr>
            </w:pPr>
            <w:r>
              <w:rPr>
                <w:color w:val="000000" w:themeColor="text1"/>
              </w:rPr>
              <w:t>N/A</w:t>
            </w:r>
          </w:p>
        </w:tc>
        <w:tc>
          <w:tcPr>
            <w:tcW w:w="1122" w:type="dxa"/>
            <w:shd w:val="clear" w:color="auto" w:fill="auto"/>
          </w:tcPr>
          <w:p w14:paraId="760AFF21" w14:textId="77777777" w:rsidR="00E72CA9" w:rsidRDefault="00D516E3">
            <w:pPr>
              <w:rPr>
                <w:strike/>
                <w:color w:val="000000" w:themeColor="text1"/>
              </w:rPr>
            </w:pPr>
            <w:r>
              <w:rPr>
                <w:color w:val="000000" w:themeColor="text1"/>
              </w:rPr>
              <w:t>N/A</w:t>
            </w:r>
          </w:p>
        </w:tc>
        <w:tc>
          <w:tcPr>
            <w:tcW w:w="1122" w:type="dxa"/>
            <w:shd w:val="clear" w:color="auto" w:fill="auto"/>
          </w:tcPr>
          <w:p w14:paraId="1EEA9B7D" w14:textId="77777777" w:rsidR="00E72CA9" w:rsidRDefault="00D516E3">
            <w:pPr>
              <w:rPr>
                <w:strike/>
                <w:color w:val="000000" w:themeColor="text1"/>
              </w:rPr>
            </w:pPr>
            <w:r>
              <w:rPr>
                <w:color w:val="000000" w:themeColor="text1"/>
              </w:rPr>
              <w:t>N/A</w:t>
            </w:r>
          </w:p>
        </w:tc>
        <w:tc>
          <w:tcPr>
            <w:tcW w:w="1122" w:type="dxa"/>
            <w:shd w:val="clear" w:color="auto" w:fill="auto"/>
          </w:tcPr>
          <w:p w14:paraId="295BBFB0" w14:textId="77777777" w:rsidR="00E72CA9" w:rsidRDefault="00D516E3">
            <w:pPr>
              <w:rPr>
                <w:strike/>
                <w:color w:val="000000" w:themeColor="text1"/>
              </w:rPr>
            </w:pPr>
            <w:r>
              <w:rPr>
                <w:color w:val="000000" w:themeColor="text1"/>
              </w:rPr>
              <w:t>N/A</w:t>
            </w:r>
          </w:p>
        </w:tc>
        <w:tc>
          <w:tcPr>
            <w:tcW w:w="1122" w:type="dxa"/>
            <w:shd w:val="clear" w:color="auto" w:fill="auto"/>
          </w:tcPr>
          <w:p w14:paraId="3FD57C08" w14:textId="77777777" w:rsidR="00E72CA9" w:rsidRDefault="00D516E3">
            <w:pPr>
              <w:rPr>
                <w:strike/>
                <w:color w:val="000000" w:themeColor="text1"/>
              </w:rPr>
            </w:pPr>
            <w:r>
              <w:rPr>
                <w:color w:val="000000" w:themeColor="text1"/>
              </w:rPr>
              <w:t>N/A</w:t>
            </w:r>
          </w:p>
        </w:tc>
        <w:tc>
          <w:tcPr>
            <w:tcW w:w="1122" w:type="dxa"/>
            <w:shd w:val="clear" w:color="auto" w:fill="auto"/>
          </w:tcPr>
          <w:p w14:paraId="7C04287A" w14:textId="77777777" w:rsidR="00E72CA9" w:rsidRDefault="00D516E3">
            <w:pPr>
              <w:rPr>
                <w:color w:val="000000" w:themeColor="text1"/>
              </w:rPr>
            </w:pPr>
            <w:r>
              <w:rPr>
                <w:color w:val="000000" w:themeColor="text1"/>
              </w:rPr>
              <w:t>with</w:t>
            </w:r>
          </w:p>
        </w:tc>
      </w:tr>
      <w:tr w:rsidR="00E72CA9" w14:paraId="3B928DC6" w14:textId="77777777">
        <w:tc>
          <w:tcPr>
            <w:tcW w:w="3022" w:type="dxa"/>
            <w:shd w:val="clear" w:color="auto" w:fill="auto"/>
          </w:tcPr>
          <w:p w14:paraId="6294DAE0" w14:textId="77777777" w:rsidR="00E72CA9" w:rsidRDefault="00D516E3">
            <w:pPr>
              <w:rPr>
                <w:color w:val="000000" w:themeColor="text1"/>
              </w:rPr>
            </w:pPr>
            <w:r>
              <w:rPr>
                <w:color w:val="000000" w:themeColor="text1"/>
              </w:rPr>
              <w:t>Thoracic spine Lat</w:t>
            </w:r>
          </w:p>
        </w:tc>
        <w:tc>
          <w:tcPr>
            <w:tcW w:w="1120" w:type="dxa"/>
            <w:shd w:val="clear" w:color="auto" w:fill="auto"/>
          </w:tcPr>
          <w:p w14:paraId="039DB9EA" w14:textId="77777777" w:rsidR="00E72CA9" w:rsidRDefault="00D516E3">
            <w:pPr>
              <w:rPr>
                <w:color w:val="000000" w:themeColor="text1"/>
              </w:rPr>
            </w:pPr>
            <w:r>
              <w:rPr>
                <w:color w:val="000000" w:themeColor="text1"/>
              </w:rPr>
              <w:t>N/A</w:t>
            </w:r>
          </w:p>
        </w:tc>
        <w:tc>
          <w:tcPr>
            <w:tcW w:w="1122" w:type="dxa"/>
            <w:shd w:val="clear" w:color="auto" w:fill="auto"/>
          </w:tcPr>
          <w:p w14:paraId="54F2071F" w14:textId="77777777" w:rsidR="00E72CA9" w:rsidRDefault="00D516E3">
            <w:pPr>
              <w:rPr>
                <w:color w:val="000000" w:themeColor="text1"/>
              </w:rPr>
            </w:pPr>
            <w:r>
              <w:rPr>
                <w:color w:val="000000" w:themeColor="text1"/>
              </w:rPr>
              <w:t>N/A</w:t>
            </w:r>
          </w:p>
        </w:tc>
        <w:tc>
          <w:tcPr>
            <w:tcW w:w="1122" w:type="dxa"/>
            <w:shd w:val="clear" w:color="auto" w:fill="auto"/>
          </w:tcPr>
          <w:p w14:paraId="6408042E" w14:textId="77777777" w:rsidR="00E72CA9" w:rsidRDefault="00D516E3">
            <w:pPr>
              <w:rPr>
                <w:color w:val="000000" w:themeColor="text1"/>
              </w:rPr>
            </w:pPr>
            <w:r>
              <w:rPr>
                <w:color w:val="000000" w:themeColor="text1"/>
              </w:rPr>
              <w:t>N/A</w:t>
            </w:r>
          </w:p>
        </w:tc>
        <w:tc>
          <w:tcPr>
            <w:tcW w:w="1122" w:type="dxa"/>
            <w:shd w:val="clear" w:color="auto" w:fill="auto"/>
          </w:tcPr>
          <w:p w14:paraId="22954356" w14:textId="77777777" w:rsidR="00E72CA9" w:rsidRDefault="00D516E3">
            <w:pPr>
              <w:rPr>
                <w:color w:val="000000" w:themeColor="text1"/>
              </w:rPr>
            </w:pPr>
            <w:r>
              <w:rPr>
                <w:color w:val="000000" w:themeColor="text1"/>
              </w:rPr>
              <w:t>N/A</w:t>
            </w:r>
          </w:p>
        </w:tc>
        <w:tc>
          <w:tcPr>
            <w:tcW w:w="1122" w:type="dxa"/>
            <w:shd w:val="clear" w:color="auto" w:fill="auto"/>
          </w:tcPr>
          <w:p w14:paraId="5344FFED" w14:textId="77777777" w:rsidR="00E72CA9" w:rsidRDefault="00D516E3">
            <w:pPr>
              <w:rPr>
                <w:color w:val="000000" w:themeColor="text1"/>
              </w:rPr>
            </w:pPr>
            <w:r>
              <w:rPr>
                <w:color w:val="000000" w:themeColor="text1"/>
              </w:rPr>
              <w:t>N/A</w:t>
            </w:r>
          </w:p>
        </w:tc>
        <w:tc>
          <w:tcPr>
            <w:tcW w:w="1122" w:type="dxa"/>
            <w:shd w:val="clear" w:color="auto" w:fill="auto"/>
          </w:tcPr>
          <w:p w14:paraId="191AFE18" w14:textId="77777777" w:rsidR="00E72CA9" w:rsidRDefault="00D516E3">
            <w:pPr>
              <w:rPr>
                <w:color w:val="000000" w:themeColor="text1"/>
              </w:rPr>
            </w:pPr>
            <w:r>
              <w:rPr>
                <w:color w:val="000000" w:themeColor="text1"/>
              </w:rPr>
              <w:t>without</w:t>
            </w:r>
          </w:p>
        </w:tc>
      </w:tr>
      <w:tr w:rsidR="00E72CA9" w14:paraId="53CE4E03" w14:textId="77777777">
        <w:tc>
          <w:tcPr>
            <w:tcW w:w="3022" w:type="dxa"/>
            <w:shd w:val="clear" w:color="auto" w:fill="auto"/>
          </w:tcPr>
          <w:p w14:paraId="0055C178" w14:textId="77777777" w:rsidR="00E72CA9" w:rsidRDefault="00D516E3">
            <w:pPr>
              <w:rPr>
                <w:color w:val="000000" w:themeColor="text1"/>
              </w:rPr>
            </w:pPr>
            <w:r>
              <w:rPr>
                <w:color w:val="000000" w:themeColor="text1"/>
              </w:rPr>
              <w:t>Thoraco-lumbar spine Lat</w:t>
            </w:r>
          </w:p>
        </w:tc>
        <w:tc>
          <w:tcPr>
            <w:tcW w:w="1120" w:type="dxa"/>
            <w:shd w:val="clear" w:color="auto" w:fill="auto"/>
          </w:tcPr>
          <w:p w14:paraId="74EBD894" w14:textId="77777777" w:rsidR="00E72CA9" w:rsidRDefault="00D516E3">
            <w:pPr>
              <w:rPr>
                <w:color w:val="000000" w:themeColor="text1"/>
              </w:rPr>
            </w:pPr>
            <w:r>
              <w:rPr>
                <w:color w:val="000000" w:themeColor="text1"/>
              </w:rPr>
              <w:t>without</w:t>
            </w:r>
          </w:p>
        </w:tc>
        <w:tc>
          <w:tcPr>
            <w:tcW w:w="1122" w:type="dxa"/>
            <w:shd w:val="clear" w:color="auto" w:fill="auto"/>
          </w:tcPr>
          <w:p w14:paraId="16E0AA9E" w14:textId="77777777" w:rsidR="00E72CA9" w:rsidRDefault="00D516E3">
            <w:pPr>
              <w:rPr>
                <w:color w:val="000000" w:themeColor="text1"/>
              </w:rPr>
            </w:pPr>
            <w:r>
              <w:rPr>
                <w:color w:val="000000" w:themeColor="text1"/>
              </w:rPr>
              <w:t>without</w:t>
            </w:r>
          </w:p>
        </w:tc>
        <w:tc>
          <w:tcPr>
            <w:tcW w:w="1122" w:type="dxa"/>
            <w:shd w:val="clear" w:color="auto" w:fill="auto"/>
          </w:tcPr>
          <w:p w14:paraId="43FE3335" w14:textId="77777777" w:rsidR="00E72CA9" w:rsidRDefault="00D516E3">
            <w:pPr>
              <w:rPr>
                <w:strike/>
                <w:color w:val="000000" w:themeColor="text1"/>
              </w:rPr>
            </w:pPr>
            <w:r>
              <w:rPr>
                <w:color w:val="000000" w:themeColor="text1"/>
              </w:rPr>
              <w:t>N/A</w:t>
            </w:r>
          </w:p>
        </w:tc>
        <w:tc>
          <w:tcPr>
            <w:tcW w:w="1122" w:type="dxa"/>
            <w:shd w:val="clear" w:color="auto" w:fill="auto"/>
          </w:tcPr>
          <w:p w14:paraId="09FF60DC" w14:textId="77777777" w:rsidR="00E72CA9" w:rsidRDefault="00D516E3">
            <w:pPr>
              <w:rPr>
                <w:strike/>
                <w:color w:val="000000" w:themeColor="text1"/>
              </w:rPr>
            </w:pPr>
            <w:r>
              <w:rPr>
                <w:color w:val="000000" w:themeColor="text1"/>
              </w:rPr>
              <w:t>N/A</w:t>
            </w:r>
          </w:p>
        </w:tc>
        <w:tc>
          <w:tcPr>
            <w:tcW w:w="1122" w:type="dxa"/>
            <w:shd w:val="clear" w:color="auto" w:fill="auto"/>
          </w:tcPr>
          <w:p w14:paraId="25337AEA" w14:textId="77777777" w:rsidR="00E72CA9" w:rsidRDefault="00D516E3">
            <w:pPr>
              <w:rPr>
                <w:strike/>
                <w:color w:val="000000" w:themeColor="text1"/>
              </w:rPr>
            </w:pPr>
            <w:r>
              <w:rPr>
                <w:color w:val="000000" w:themeColor="text1"/>
              </w:rPr>
              <w:t>N/A</w:t>
            </w:r>
          </w:p>
        </w:tc>
        <w:tc>
          <w:tcPr>
            <w:tcW w:w="1122" w:type="dxa"/>
            <w:shd w:val="clear" w:color="auto" w:fill="auto"/>
          </w:tcPr>
          <w:p w14:paraId="42FF362E" w14:textId="77777777" w:rsidR="00E72CA9" w:rsidRDefault="00D516E3">
            <w:pPr>
              <w:rPr>
                <w:color w:val="000000" w:themeColor="text1"/>
              </w:rPr>
            </w:pPr>
            <w:r>
              <w:rPr>
                <w:color w:val="000000" w:themeColor="text1"/>
              </w:rPr>
              <w:t>N/A</w:t>
            </w:r>
          </w:p>
        </w:tc>
      </w:tr>
      <w:tr w:rsidR="00E72CA9" w14:paraId="0A88CC53" w14:textId="77777777">
        <w:tc>
          <w:tcPr>
            <w:tcW w:w="3022" w:type="dxa"/>
            <w:shd w:val="clear" w:color="auto" w:fill="auto"/>
          </w:tcPr>
          <w:p w14:paraId="2C93B7FC" w14:textId="77777777" w:rsidR="00E72CA9" w:rsidRDefault="00D516E3">
            <w:pPr>
              <w:rPr>
                <w:color w:val="000000" w:themeColor="text1"/>
                <w:lang w:eastAsia="ko-KR"/>
              </w:rPr>
            </w:pPr>
            <w:r>
              <w:rPr>
                <w:color w:val="000000" w:themeColor="text1"/>
                <w:lang w:eastAsia="ko-KR"/>
              </w:rPr>
              <w:t>Scoliosis AP</w:t>
            </w:r>
          </w:p>
        </w:tc>
        <w:tc>
          <w:tcPr>
            <w:tcW w:w="1120" w:type="dxa"/>
            <w:shd w:val="clear" w:color="auto" w:fill="auto"/>
          </w:tcPr>
          <w:p w14:paraId="3A0611CB" w14:textId="77777777" w:rsidR="00E72CA9" w:rsidRDefault="00D516E3">
            <w:pPr>
              <w:rPr>
                <w:color w:val="000000" w:themeColor="text1"/>
              </w:rPr>
            </w:pPr>
            <w:r>
              <w:rPr>
                <w:color w:val="000000" w:themeColor="text1"/>
              </w:rPr>
              <w:t>with</w:t>
            </w:r>
          </w:p>
        </w:tc>
        <w:tc>
          <w:tcPr>
            <w:tcW w:w="1122" w:type="dxa"/>
            <w:shd w:val="clear" w:color="auto" w:fill="auto"/>
          </w:tcPr>
          <w:p w14:paraId="15E56B05" w14:textId="77777777" w:rsidR="00E72CA9" w:rsidRDefault="00D516E3">
            <w:pPr>
              <w:rPr>
                <w:color w:val="000000" w:themeColor="text1"/>
              </w:rPr>
            </w:pPr>
            <w:r>
              <w:rPr>
                <w:color w:val="000000" w:themeColor="text1"/>
              </w:rPr>
              <w:t>with</w:t>
            </w:r>
          </w:p>
        </w:tc>
        <w:tc>
          <w:tcPr>
            <w:tcW w:w="1122" w:type="dxa"/>
            <w:shd w:val="clear" w:color="auto" w:fill="auto"/>
          </w:tcPr>
          <w:p w14:paraId="1D47633A" w14:textId="77777777" w:rsidR="00E72CA9" w:rsidRDefault="00D516E3">
            <w:pPr>
              <w:rPr>
                <w:strike/>
                <w:color w:val="000000" w:themeColor="text1"/>
              </w:rPr>
            </w:pPr>
            <w:r>
              <w:rPr>
                <w:color w:val="000000" w:themeColor="text1"/>
              </w:rPr>
              <w:t>N/A</w:t>
            </w:r>
          </w:p>
        </w:tc>
        <w:tc>
          <w:tcPr>
            <w:tcW w:w="1122" w:type="dxa"/>
            <w:shd w:val="clear" w:color="auto" w:fill="auto"/>
          </w:tcPr>
          <w:p w14:paraId="56B67BB0" w14:textId="77777777" w:rsidR="00E72CA9" w:rsidRDefault="00D516E3">
            <w:pPr>
              <w:rPr>
                <w:strike/>
                <w:color w:val="000000" w:themeColor="text1"/>
              </w:rPr>
            </w:pPr>
            <w:r>
              <w:rPr>
                <w:color w:val="000000" w:themeColor="text1"/>
              </w:rPr>
              <w:t>N/A</w:t>
            </w:r>
          </w:p>
        </w:tc>
        <w:tc>
          <w:tcPr>
            <w:tcW w:w="1122" w:type="dxa"/>
            <w:shd w:val="clear" w:color="auto" w:fill="auto"/>
          </w:tcPr>
          <w:p w14:paraId="31B4040D" w14:textId="77777777" w:rsidR="00E72CA9" w:rsidRDefault="00D516E3">
            <w:pPr>
              <w:rPr>
                <w:strike/>
                <w:color w:val="000000" w:themeColor="text1"/>
              </w:rPr>
            </w:pPr>
            <w:r>
              <w:rPr>
                <w:color w:val="000000" w:themeColor="text1"/>
              </w:rPr>
              <w:t>N/A</w:t>
            </w:r>
          </w:p>
        </w:tc>
        <w:tc>
          <w:tcPr>
            <w:tcW w:w="1122" w:type="dxa"/>
            <w:shd w:val="clear" w:color="auto" w:fill="auto"/>
          </w:tcPr>
          <w:p w14:paraId="620C3CE3" w14:textId="77777777" w:rsidR="00E72CA9" w:rsidRDefault="00D516E3">
            <w:pPr>
              <w:rPr>
                <w:strike/>
                <w:color w:val="000000" w:themeColor="text1"/>
              </w:rPr>
            </w:pPr>
            <w:r>
              <w:rPr>
                <w:color w:val="000000" w:themeColor="text1"/>
              </w:rPr>
              <w:t>N/A</w:t>
            </w:r>
          </w:p>
        </w:tc>
      </w:tr>
      <w:tr w:rsidR="00E72CA9" w14:paraId="39901791" w14:textId="77777777">
        <w:tc>
          <w:tcPr>
            <w:tcW w:w="3022" w:type="dxa"/>
            <w:shd w:val="clear" w:color="auto" w:fill="auto"/>
          </w:tcPr>
          <w:p w14:paraId="3D13494B" w14:textId="77777777" w:rsidR="00E72CA9" w:rsidRDefault="00D516E3">
            <w:pPr>
              <w:rPr>
                <w:color w:val="000000" w:themeColor="text1"/>
                <w:lang w:eastAsia="ko-KR"/>
              </w:rPr>
            </w:pPr>
            <w:r>
              <w:rPr>
                <w:color w:val="000000" w:themeColor="text1"/>
                <w:lang w:eastAsia="ko-KR"/>
              </w:rPr>
              <w:t>Scoliosis PA</w:t>
            </w:r>
          </w:p>
        </w:tc>
        <w:tc>
          <w:tcPr>
            <w:tcW w:w="1120" w:type="dxa"/>
            <w:shd w:val="clear" w:color="auto" w:fill="auto"/>
          </w:tcPr>
          <w:p w14:paraId="27EFA47B" w14:textId="77777777" w:rsidR="00E72CA9" w:rsidRDefault="00D516E3">
            <w:pPr>
              <w:rPr>
                <w:color w:val="000000" w:themeColor="text1"/>
              </w:rPr>
            </w:pPr>
            <w:r>
              <w:rPr>
                <w:color w:val="000000" w:themeColor="text1"/>
              </w:rPr>
              <w:t>N/A</w:t>
            </w:r>
          </w:p>
        </w:tc>
        <w:tc>
          <w:tcPr>
            <w:tcW w:w="1122" w:type="dxa"/>
            <w:shd w:val="clear" w:color="auto" w:fill="auto"/>
          </w:tcPr>
          <w:p w14:paraId="2F85BB2E" w14:textId="77777777" w:rsidR="00E72CA9" w:rsidRDefault="00D516E3">
            <w:pPr>
              <w:rPr>
                <w:color w:val="000000" w:themeColor="text1"/>
              </w:rPr>
            </w:pPr>
            <w:r>
              <w:rPr>
                <w:color w:val="000000" w:themeColor="text1"/>
              </w:rPr>
              <w:t>N/A</w:t>
            </w:r>
          </w:p>
        </w:tc>
        <w:tc>
          <w:tcPr>
            <w:tcW w:w="1122" w:type="dxa"/>
            <w:shd w:val="clear" w:color="auto" w:fill="auto"/>
          </w:tcPr>
          <w:p w14:paraId="386AABE7" w14:textId="77777777" w:rsidR="00E72CA9" w:rsidRDefault="00D516E3">
            <w:pPr>
              <w:rPr>
                <w:color w:val="000000" w:themeColor="text1"/>
              </w:rPr>
            </w:pPr>
            <w:r>
              <w:rPr>
                <w:color w:val="000000" w:themeColor="text1"/>
              </w:rPr>
              <w:t>without</w:t>
            </w:r>
          </w:p>
        </w:tc>
        <w:tc>
          <w:tcPr>
            <w:tcW w:w="1122" w:type="dxa"/>
            <w:shd w:val="clear" w:color="auto" w:fill="auto"/>
          </w:tcPr>
          <w:p w14:paraId="6F518EBD" w14:textId="77777777" w:rsidR="00E72CA9" w:rsidRDefault="00D516E3">
            <w:pPr>
              <w:rPr>
                <w:color w:val="000000" w:themeColor="text1"/>
              </w:rPr>
            </w:pPr>
            <w:r>
              <w:rPr>
                <w:color w:val="000000" w:themeColor="text1"/>
              </w:rPr>
              <w:t>without</w:t>
            </w:r>
          </w:p>
        </w:tc>
        <w:tc>
          <w:tcPr>
            <w:tcW w:w="1122" w:type="dxa"/>
            <w:shd w:val="clear" w:color="auto" w:fill="auto"/>
          </w:tcPr>
          <w:p w14:paraId="26DDCFFD" w14:textId="77777777" w:rsidR="00E72CA9" w:rsidRDefault="00D516E3">
            <w:pPr>
              <w:rPr>
                <w:color w:val="000000" w:themeColor="text1"/>
              </w:rPr>
            </w:pPr>
            <w:r>
              <w:rPr>
                <w:color w:val="000000" w:themeColor="text1"/>
              </w:rPr>
              <w:t>without</w:t>
            </w:r>
          </w:p>
        </w:tc>
        <w:tc>
          <w:tcPr>
            <w:tcW w:w="1122" w:type="dxa"/>
            <w:shd w:val="clear" w:color="auto" w:fill="auto"/>
          </w:tcPr>
          <w:p w14:paraId="2680E2F8" w14:textId="77777777" w:rsidR="00E72CA9" w:rsidRDefault="00D516E3">
            <w:pPr>
              <w:rPr>
                <w:color w:val="000000" w:themeColor="text1"/>
              </w:rPr>
            </w:pPr>
            <w:r>
              <w:rPr>
                <w:color w:val="000000" w:themeColor="text1"/>
              </w:rPr>
              <w:t>N/A</w:t>
            </w:r>
          </w:p>
        </w:tc>
      </w:tr>
      <w:tr w:rsidR="00E72CA9" w14:paraId="7D2DF2EA" w14:textId="77777777">
        <w:tc>
          <w:tcPr>
            <w:tcW w:w="3022" w:type="dxa"/>
            <w:shd w:val="clear" w:color="auto" w:fill="auto"/>
          </w:tcPr>
          <w:p w14:paraId="67E4D67D" w14:textId="77777777" w:rsidR="00E72CA9" w:rsidRDefault="00D516E3">
            <w:pPr>
              <w:rPr>
                <w:color w:val="000000" w:themeColor="text1"/>
                <w:lang w:eastAsia="ko-KR"/>
              </w:rPr>
            </w:pPr>
            <w:r>
              <w:rPr>
                <w:color w:val="000000" w:themeColor="text1"/>
                <w:lang w:eastAsia="ko-KR"/>
              </w:rPr>
              <w:t>Scoliosis Lat</w:t>
            </w:r>
          </w:p>
        </w:tc>
        <w:tc>
          <w:tcPr>
            <w:tcW w:w="1120" w:type="dxa"/>
            <w:shd w:val="clear" w:color="auto" w:fill="auto"/>
          </w:tcPr>
          <w:p w14:paraId="510557D2" w14:textId="77777777" w:rsidR="00E72CA9" w:rsidRDefault="00D516E3">
            <w:pPr>
              <w:rPr>
                <w:color w:val="000000" w:themeColor="text1"/>
              </w:rPr>
            </w:pPr>
            <w:r>
              <w:rPr>
                <w:color w:val="000000" w:themeColor="text1"/>
              </w:rPr>
              <w:t>without</w:t>
            </w:r>
          </w:p>
        </w:tc>
        <w:tc>
          <w:tcPr>
            <w:tcW w:w="1122" w:type="dxa"/>
            <w:shd w:val="clear" w:color="auto" w:fill="auto"/>
          </w:tcPr>
          <w:p w14:paraId="5506E808" w14:textId="77777777" w:rsidR="00E72CA9" w:rsidRDefault="00D516E3">
            <w:pPr>
              <w:rPr>
                <w:color w:val="000000" w:themeColor="text1"/>
              </w:rPr>
            </w:pPr>
            <w:r>
              <w:rPr>
                <w:color w:val="000000" w:themeColor="text1"/>
              </w:rPr>
              <w:t>without</w:t>
            </w:r>
          </w:p>
        </w:tc>
        <w:tc>
          <w:tcPr>
            <w:tcW w:w="1122" w:type="dxa"/>
            <w:shd w:val="clear" w:color="auto" w:fill="auto"/>
          </w:tcPr>
          <w:p w14:paraId="05006575" w14:textId="77777777" w:rsidR="00E72CA9" w:rsidRDefault="00D516E3">
            <w:pPr>
              <w:rPr>
                <w:color w:val="000000" w:themeColor="text1"/>
              </w:rPr>
            </w:pPr>
            <w:r>
              <w:rPr>
                <w:color w:val="000000" w:themeColor="text1"/>
              </w:rPr>
              <w:t>without</w:t>
            </w:r>
          </w:p>
        </w:tc>
        <w:tc>
          <w:tcPr>
            <w:tcW w:w="1122" w:type="dxa"/>
            <w:shd w:val="clear" w:color="auto" w:fill="auto"/>
          </w:tcPr>
          <w:p w14:paraId="7B40F837" w14:textId="77777777" w:rsidR="00E72CA9" w:rsidRDefault="00D516E3">
            <w:pPr>
              <w:rPr>
                <w:color w:val="000000" w:themeColor="text1"/>
              </w:rPr>
            </w:pPr>
            <w:r>
              <w:rPr>
                <w:color w:val="000000" w:themeColor="text1"/>
              </w:rPr>
              <w:t>without</w:t>
            </w:r>
          </w:p>
        </w:tc>
        <w:tc>
          <w:tcPr>
            <w:tcW w:w="1122" w:type="dxa"/>
            <w:shd w:val="clear" w:color="auto" w:fill="auto"/>
          </w:tcPr>
          <w:p w14:paraId="067F5776" w14:textId="77777777" w:rsidR="00E72CA9" w:rsidRDefault="00D516E3">
            <w:pPr>
              <w:rPr>
                <w:color w:val="000000" w:themeColor="text1"/>
              </w:rPr>
            </w:pPr>
            <w:r>
              <w:rPr>
                <w:color w:val="000000" w:themeColor="text1"/>
              </w:rPr>
              <w:t>without</w:t>
            </w:r>
          </w:p>
        </w:tc>
        <w:tc>
          <w:tcPr>
            <w:tcW w:w="1122" w:type="dxa"/>
            <w:shd w:val="clear" w:color="auto" w:fill="auto"/>
          </w:tcPr>
          <w:p w14:paraId="5E4AF88C" w14:textId="77777777" w:rsidR="00E72CA9" w:rsidRDefault="00D516E3">
            <w:pPr>
              <w:rPr>
                <w:strike/>
                <w:color w:val="000000" w:themeColor="text1"/>
              </w:rPr>
            </w:pPr>
            <w:r>
              <w:rPr>
                <w:color w:val="000000" w:themeColor="text1"/>
              </w:rPr>
              <w:t>N/A</w:t>
            </w:r>
          </w:p>
        </w:tc>
      </w:tr>
      <w:tr w:rsidR="00E72CA9" w14:paraId="4011EA60" w14:textId="77777777">
        <w:tc>
          <w:tcPr>
            <w:tcW w:w="3022" w:type="dxa"/>
            <w:shd w:val="clear" w:color="auto" w:fill="auto"/>
          </w:tcPr>
          <w:p w14:paraId="66CCF5F7" w14:textId="77777777" w:rsidR="00E72CA9" w:rsidRDefault="00D516E3">
            <w:pPr>
              <w:rPr>
                <w:color w:val="000000" w:themeColor="text1"/>
                <w:lang w:eastAsia="ko-KR"/>
              </w:rPr>
            </w:pPr>
            <w:r>
              <w:rPr>
                <w:color w:val="000000" w:themeColor="text1"/>
                <w:lang w:eastAsia="ko-KR"/>
              </w:rPr>
              <w:t>Skull PA</w:t>
            </w:r>
          </w:p>
        </w:tc>
        <w:tc>
          <w:tcPr>
            <w:tcW w:w="1120" w:type="dxa"/>
            <w:shd w:val="clear" w:color="auto" w:fill="auto"/>
          </w:tcPr>
          <w:p w14:paraId="6004E16A"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364893CC"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195ACF5B"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4BD18C28"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40FAB9EA"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6DBB289C" w14:textId="77777777" w:rsidR="00E72CA9" w:rsidRDefault="00D516E3">
            <w:pPr>
              <w:rPr>
                <w:color w:val="000000" w:themeColor="text1"/>
              </w:rPr>
            </w:pPr>
            <w:r>
              <w:rPr>
                <w:color w:val="000000" w:themeColor="text1"/>
              </w:rPr>
              <w:t>N/A</w:t>
            </w:r>
          </w:p>
        </w:tc>
      </w:tr>
      <w:tr w:rsidR="00E72CA9" w14:paraId="1DFCDA2E" w14:textId="77777777">
        <w:tc>
          <w:tcPr>
            <w:tcW w:w="3022" w:type="dxa"/>
            <w:shd w:val="clear" w:color="auto" w:fill="auto"/>
          </w:tcPr>
          <w:p w14:paraId="0A59288A" w14:textId="77777777" w:rsidR="00E72CA9" w:rsidRDefault="00D516E3">
            <w:pPr>
              <w:rPr>
                <w:color w:val="000000" w:themeColor="text1"/>
                <w:lang w:eastAsia="ko-KR"/>
              </w:rPr>
            </w:pPr>
            <w:r>
              <w:rPr>
                <w:color w:val="000000" w:themeColor="text1"/>
                <w:lang w:eastAsia="ko-KR"/>
              </w:rPr>
              <w:t>Skull Lat</w:t>
            </w:r>
          </w:p>
        </w:tc>
        <w:tc>
          <w:tcPr>
            <w:tcW w:w="1120" w:type="dxa"/>
            <w:shd w:val="clear" w:color="auto" w:fill="auto"/>
          </w:tcPr>
          <w:p w14:paraId="1974EA6F"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355275EC"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3782B128"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2BD31DE1"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5D2E0C1D" w14:textId="77777777" w:rsidR="00E72CA9" w:rsidRDefault="00D516E3">
            <w:pPr>
              <w:rPr>
                <w:color w:val="000000" w:themeColor="text1"/>
                <w:lang w:eastAsia="ko-KR"/>
              </w:rPr>
            </w:pPr>
            <w:r>
              <w:rPr>
                <w:color w:val="000000" w:themeColor="text1"/>
                <w:lang w:eastAsia="ko-KR"/>
              </w:rPr>
              <w:t>with</w:t>
            </w:r>
          </w:p>
        </w:tc>
        <w:tc>
          <w:tcPr>
            <w:tcW w:w="1122" w:type="dxa"/>
            <w:shd w:val="clear" w:color="auto" w:fill="auto"/>
          </w:tcPr>
          <w:p w14:paraId="4A93AA66" w14:textId="77777777" w:rsidR="00E72CA9" w:rsidRDefault="00D516E3">
            <w:pPr>
              <w:rPr>
                <w:color w:val="000000" w:themeColor="text1"/>
              </w:rPr>
            </w:pPr>
            <w:r>
              <w:rPr>
                <w:color w:val="000000" w:themeColor="text1"/>
              </w:rPr>
              <w:t>N/A.</w:t>
            </w:r>
          </w:p>
        </w:tc>
      </w:tr>
    </w:tbl>
    <w:p w14:paraId="084AE95C" w14:textId="77777777" w:rsidR="00E72CA9" w:rsidRDefault="00D516E3">
      <w:pPr>
        <w:pStyle w:val="Annalstext"/>
        <w:tabs>
          <w:tab w:val="clear" w:pos="502"/>
        </w:tabs>
        <w:ind w:left="0" w:firstLine="0"/>
        <w:rPr>
          <w:iCs/>
          <w:sz w:val="20"/>
        </w:rPr>
      </w:pPr>
      <w:r>
        <w:rPr>
          <w:sz w:val="20"/>
        </w:rPr>
        <w:t>PA, posterior-anterior; AP, anterior-posterior; Lat, lateral (Right LAT and Left LAT); N/A, not applicable.</w:t>
      </w:r>
    </w:p>
    <w:p w14:paraId="3CE72F4F" w14:textId="77777777" w:rsidR="00E72CA9" w:rsidRDefault="00E72CA9">
      <w:pPr>
        <w:pStyle w:val="Annalstext"/>
        <w:tabs>
          <w:tab w:val="clear" w:pos="502"/>
        </w:tabs>
        <w:ind w:left="142" w:firstLine="0"/>
      </w:pPr>
    </w:p>
    <w:p w14:paraId="0C0ECF15" w14:textId="77777777" w:rsidR="00E72CA9" w:rsidRDefault="00E72CA9">
      <w:pPr>
        <w:pStyle w:val="Annalstext"/>
        <w:tabs>
          <w:tab w:val="clear" w:pos="502"/>
        </w:tabs>
        <w:ind w:left="0"/>
      </w:pPr>
    </w:p>
    <w:p w14:paraId="2F2B02E4" w14:textId="77777777" w:rsidR="00E72CA9" w:rsidRDefault="00E72CA9">
      <w:pPr>
        <w:pStyle w:val="Annalstext"/>
        <w:tabs>
          <w:tab w:val="clear" w:pos="502"/>
        </w:tabs>
        <w:ind w:left="0"/>
      </w:pPr>
    </w:p>
    <w:p w14:paraId="201AA964" w14:textId="77777777" w:rsidR="00E72CA9" w:rsidRDefault="00E72CA9">
      <w:pPr>
        <w:pStyle w:val="Annalstext"/>
        <w:tabs>
          <w:tab w:val="clear" w:pos="502"/>
        </w:tabs>
        <w:ind w:left="0"/>
      </w:pPr>
    </w:p>
    <w:p w14:paraId="39E11C86" w14:textId="77777777" w:rsidR="00E72CA9" w:rsidRDefault="00D516E3">
      <w:r>
        <w:lastRenderedPageBreak/>
        <w:t>Table 4.2. Details of the methodology used for the Monte Carlo calculations of the dose coefficients.</w:t>
      </w:r>
    </w:p>
    <w:tbl>
      <w:tblPr>
        <w:tblStyle w:val="a8"/>
        <w:tblW w:w="9768" w:type="dxa"/>
        <w:tblLayout w:type="fixed"/>
        <w:tblLook w:val="04A0" w:firstRow="1" w:lastRow="0" w:firstColumn="1" w:lastColumn="0" w:noHBand="0" w:noVBand="1"/>
      </w:tblPr>
      <w:tblGrid>
        <w:gridCol w:w="2964"/>
        <w:gridCol w:w="6804"/>
      </w:tblGrid>
      <w:tr w:rsidR="00E72CA9" w14:paraId="6BEBD3E2" w14:textId="77777777">
        <w:tc>
          <w:tcPr>
            <w:tcW w:w="2964" w:type="dxa"/>
            <w:tcBorders>
              <w:left w:val="nil"/>
              <w:bottom w:val="nil"/>
              <w:right w:val="nil"/>
            </w:tcBorders>
          </w:tcPr>
          <w:p w14:paraId="0C100731" w14:textId="77777777" w:rsidR="00E72CA9" w:rsidRDefault="00D516E3">
            <w:r>
              <w:t>Radiation transport</w:t>
            </w:r>
          </w:p>
        </w:tc>
        <w:tc>
          <w:tcPr>
            <w:tcW w:w="6804" w:type="dxa"/>
            <w:tcBorders>
              <w:left w:val="nil"/>
              <w:right w:val="nil"/>
            </w:tcBorders>
          </w:tcPr>
          <w:p w14:paraId="5DF0935A" w14:textId="77777777" w:rsidR="00E72CA9" w:rsidRDefault="00D516E3">
            <w:r>
              <w:t xml:space="preserve">For the adult reference phantoms: EGSnrc </w:t>
            </w:r>
            <w:r>
              <w:fldChar w:fldCharType="begin"/>
            </w:r>
            <w:r>
              <w:instrText xml:space="preserve"> ADDIN EN.CITE &lt;EndNote&gt;&lt;Cite&gt;&lt;Author&gt;Kawrakow&lt;/Author&gt;&lt;Year&gt;2009&lt;/Year&gt;&lt;RecNum&gt;6607&lt;/RecNum&gt;&lt;DisplayText&gt;(Kawrakow et al., 2009)&lt;/DisplayText&gt;&lt;record&gt;&lt;rec-number&gt;6607&lt;/rec-number&gt;&lt;foreign-keys&gt;&lt;key app="EN" db-id="rss5s0wzrpx9pwe5a0h5a9wkx9sf2zexde9d" timestamp="1272529437"&gt;6607&lt;/key&gt;&lt;/foreign-keys&gt;&lt;ref-type name="Report"&gt;27&lt;/ref-type&gt;&lt;contributors&gt;&lt;authors&gt;&lt;author&gt;Kawrakow, I.&lt;/author&gt;&lt;author&gt;Mainegra-Hing, E.&lt;/author&gt;&lt;author&gt;Rogers, D.W.O.&lt;/author&gt;&lt;author&gt;Tessier, F.&lt;/author&gt;&lt;author&gt;Walters, B.R.B.&lt;/author&gt;&lt;/authors&gt;&lt;/contributors&gt;&lt;titles&gt;&lt;title&gt;The EGSnrc code system: Monte Carlo simulation of electron and photon transport&lt;/title&gt;&lt;/titles&gt;&lt;dates&gt;&lt;year&gt;2009&lt;/year&gt;&lt;/dates&gt;&lt;pub-location&gt;Ottawa&lt;/pub-location&gt;&lt;publisher&gt;National Research Council of Canada (NRCC)&lt;/publisher&gt;&lt;isbn&gt;701&lt;/isbn&gt;&lt;work-type&gt;PIRS Report&lt;/work-type&gt;&lt;urls&gt;&lt;/urls&gt;&lt;/record&gt;&lt;/Cite&gt;&lt;/EndNote&gt;</w:instrText>
            </w:r>
            <w:r>
              <w:fldChar w:fldCharType="separate"/>
            </w:r>
            <w:r>
              <w:rPr>
                <w:noProof/>
              </w:rPr>
              <w:t>(Kawrakow et al., 2009)</w:t>
            </w:r>
            <w:r>
              <w:fldChar w:fldCharType="end"/>
            </w:r>
            <w:r>
              <w:t xml:space="preserve"> </w:t>
            </w:r>
          </w:p>
          <w:p w14:paraId="7151D881" w14:textId="77777777" w:rsidR="00E72CA9" w:rsidRDefault="00D516E3">
            <w:r>
              <w:t xml:space="preserve">For the paediatric reference phantoms: GEANT4 </w:t>
            </w:r>
            <w:r>
              <w:fldChar w:fldCharType="begin">
                <w:fldData xml:space="preserve">PEVuZE5vdGU+PENpdGU+PEF1dGhvcj5BZ29zdGluZWxsaTwvQXV0aG9yPjxZZWFyPjIwMDM8L1ll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==
</w:fldData>
              </w:fldChar>
            </w:r>
            <w:r>
              <w:instrText xml:space="preserve"> ADDIN EN.CITE </w:instrText>
            </w:r>
            <w:r>
              <w:fldChar w:fldCharType="begin">
                <w:fldData xml:space="preserve">PEVuZE5vdGU+PENpdGU+PEF1dGhvcj5BZ29zdGluZWxsaTwvQXV0aG9yPjxZZWFyPjIwMDM8L1ll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==
</w:fldData>
              </w:fldChar>
            </w:r>
            <w:r>
              <w:instrText xml:space="preserve"> ADDIN EN.CITE.DATA </w:instrText>
            </w:r>
            <w:r>
              <w:fldChar w:fldCharType="end"/>
            </w:r>
            <w:r>
              <w:fldChar w:fldCharType="separate"/>
            </w:r>
            <w:r>
              <w:rPr>
                <w:noProof/>
              </w:rPr>
              <w:t>(Agostinelli et al., 2003)</w:t>
            </w:r>
            <w:r>
              <w:fldChar w:fldCharType="end"/>
            </w:r>
            <w:r>
              <w:t xml:space="preserve">, version 10.7 (patch 03) </w:t>
            </w:r>
          </w:p>
        </w:tc>
      </w:tr>
      <w:tr w:rsidR="00E72CA9" w14:paraId="2E042974" w14:textId="77777777">
        <w:tc>
          <w:tcPr>
            <w:tcW w:w="2964" w:type="dxa"/>
            <w:tcBorders>
              <w:top w:val="nil"/>
              <w:left w:val="nil"/>
              <w:bottom w:val="nil"/>
              <w:right w:val="nil"/>
            </w:tcBorders>
          </w:tcPr>
          <w:p w14:paraId="512C6B3A" w14:textId="77777777" w:rsidR="00E72CA9" w:rsidRDefault="00D516E3">
            <w:r>
              <w:t>Cross section library</w:t>
            </w:r>
          </w:p>
        </w:tc>
        <w:tc>
          <w:tcPr>
            <w:tcW w:w="6804" w:type="dxa"/>
            <w:tcBorders>
              <w:left w:val="nil"/>
              <w:right w:val="nil"/>
            </w:tcBorders>
          </w:tcPr>
          <w:p w14:paraId="301A8017" w14:textId="77777777" w:rsidR="00E72CA9" w:rsidRDefault="00D516E3">
            <w:r>
              <w:t>EGSnrc: XCOM data base (Berger and Hubbell, 1987)</w:t>
            </w:r>
          </w:p>
          <w:p w14:paraId="03B0BB0A" w14:textId="77777777" w:rsidR="00E72CA9" w:rsidRDefault="00D516E3">
            <w:r>
              <w:t xml:space="preserve">GEANT4: Livermore data library </w:t>
            </w:r>
            <w:r>
              <w:fldChar w:fldCharType="begin"/>
            </w:r>
            <w:r>
              <w:instrText xml:space="preserve"> ADDIN EN.CITE &lt;EndNote&gt;&lt;Cite&gt;&lt;Author&gt;Cullen&lt;/Author&gt;&lt;Year&gt;1997&lt;/Year&gt;&lt;RecNum&gt;10498&lt;/RecNum&gt;&lt;DisplayText&gt;(Perkins et al., 1991; Cullen et al., 1997a)&lt;/DisplayText&gt;&lt;record&gt;&lt;rec-number&gt;10498&lt;/rec-number&gt;&lt;foreign-keys&gt;&lt;key app="EN" db-id="rss5s0wzrpx9pwe5a0h5a9wkx9sf2zexde9d" timestamp="1504620051"&gt;10498&lt;/key&gt;&lt;/foreign-keys&gt;&lt;ref-type name="Book"&gt;6&lt;/ref-type&gt;&lt;contributors&gt;&lt;authors&gt;&lt;author&gt;Cullen, Dermott&lt;/author&gt;&lt;author&gt;H. Hubbell, J.&lt;/author&gt;&lt;author&gt;Kissel, L.&lt;/author&gt;&lt;/authors&gt;&lt;/contributors&gt;&lt;titles&gt;&lt;title&gt;EPDL97: the evaluated photo data library `97 version&lt;/title&gt;&lt;/titles&gt;&lt;dates&gt;&lt;year&gt;1997&lt;/year&gt;&lt;/dates&gt;&lt;urls&gt;&lt;/urls&gt;&lt;electronic-resource-num&gt;10.2172/295438&lt;/electronic-resource-num&gt;&lt;/record&gt;&lt;/Cite&gt;&lt;Cite&gt;&lt;Author&gt;Perkins&lt;/Author&gt;&lt;Year&gt;1991&lt;/Year&gt;&lt;RecNum&gt;10499&lt;/RecNum&gt;&lt;record&gt;&lt;rec-number&gt;10499&lt;/rec-number&gt;&lt;foreign-keys&gt;&lt;key app="EN" db-id="rss5s0wzrpx9pwe5a0h5a9wkx9sf2zexde9d" timestamp="1504620121"&gt;10499&lt;/key&gt;&lt;/foreign-keys&gt;&lt;ref-type name="Book"&gt;6&lt;/ref-type&gt;&lt;contributors&gt;&lt;authors&gt;&lt;author&gt;Perkins, S.T.&lt;/author&gt;&lt;author&gt;Cullen, Dermott&lt;/author&gt;&lt;author&gt;M. Seltzer, S.&lt;/author&gt;&lt;/authors&gt;&lt;/contributors&gt;&lt;titles&gt;&lt;title&gt;Tables and graphs of electron-interaction cross sections from 10 eV to 100 GeV derived from the LLNL Evaluated Electron Data Library (EEDL), Z = 1 to 100&lt;/title&gt;&lt;/titles&gt;&lt;volume&gt;-1&lt;/volume&gt;&lt;dates&gt;&lt;year&gt;1991&lt;/year&gt;&lt;/dates&gt;&lt;urls&gt;&lt;/urls&gt;&lt;electronic-resource-num&gt;10.2172/5691165&lt;/electronic-resource-num&gt;&lt;/record&gt;&lt;/Cite&gt;&lt;/EndNote&gt;</w:instrText>
            </w:r>
            <w:r>
              <w:fldChar w:fldCharType="separate"/>
            </w:r>
            <w:r>
              <w:rPr>
                <w:noProof/>
              </w:rPr>
              <w:t>(Perkins et al., 1991; Cullen et al., 1997a)</w:t>
            </w:r>
            <w:r>
              <w:fldChar w:fldCharType="end"/>
            </w:r>
          </w:p>
        </w:tc>
      </w:tr>
      <w:tr w:rsidR="00E72CA9" w14:paraId="27327A18" w14:textId="77777777">
        <w:tc>
          <w:tcPr>
            <w:tcW w:w="2964" w:type="dxa"/>
            <w:tcBorders>
              <w:top w:val="nil"/>
              <w:left w:val="nil"/>
              <w:bottom w:val="nil"/>
              <w:right w:val="nil"/>
            </w:tcBorders>
          </w:tcPr>
          <w:p w14:paraId="70B7112B" w14:textId="77777777" w:rsidR="00E72CA9" w:rsidRDefault="00D516E3">
            <w:r>
              <w:t>Particles considered</w:t>
            </w:r>
          </w:p>
        </w:tc>
        <w:tc>
          <w:tcPr>
            <w:tcW w:w="6804" w:type="dxa"/>
            <w:tcBorders>
              <w:left w:val="nil"/>
              <w:right w:val="nil"/>
            </w:tcBorders>
          </w:tcPr>
          <w:p w14:paraId="3A1A8A25" w14:textId="77777777" w:rsidR="00E72CA9" w:rsidRDefault="00D516E3">
            <w:r>
              <w:t>Photons and secondary electrons</w:t>
            </w:r>
          </w:p>
        </w:tc>
      </w:tr>
      <w:tr w:rsidR="00E72CA9" w14:paraId="371E1321" w14:textId="77777777">
        <w:tc>
          <w:tcPr>
            <w:tcW w:w="2964" w:type="dxa"/>
            <w:tcBorders>
              <w:top w:val="nil"/>
              <w:left w:val="nil"/>
              <w:bottom w:val="nil"/>
              <w:right w:val="nil"/>
            </w:tcBorders>
          </w:tcPr>
          <w:p w14:paraId="5682BD97" w14:textId="77777777" w:rsidR="00E72CA9" w:rsidRDefault="00D516E3">
            <w:r>
              <w:t>Energy range considered</w:t>
            </w:r>
          </w:p>
        </w:tc>
        <w:tc>
          <w:tcPr>
            <w:tcW w:w="6804" w:type="dxa"/>
            <w:tcBorders>
              <w:left w:val="nil"/>
              <w:right w:val="nil"/>
            </w:tcBorders>
          </w:tcPr>
          <w:p w14:paraId="70B01FA5" w14:textId="77777777" w:rsidR="00E72CA9" w:rsidRDefault="00D516E3">
            <w:r>
              <w:t xml:space="preserve">Adults: 3–150 keV </w:t>
            </w:r>
          </w:p>
          <w:p w14:paraId="2FBAFC52" w14:textId="77777777" w:rsidR="00E72CA9" w:rsidRDefault="00D516E3">
            <w:r>
              <w:t xml:space="preserve">Paediatric: 1–120 keV </w:t>
            </w:r>
          </w:p>
          <w:p w14:paraId="336EA789" w14:textId="77777777" w:rsidR="00E72CA9" w:rsidRDefault="00D516E3">
            <w:r>
              <w:t>Calculations were performed for 1 keV bins</w:t>
            </w:r>
          </w:p>
        </w:tc>
      </w:tr>
      <w:tr w:rsidR="00E72CA9" w14:paraId="3E38EE4A" w14:textId="77777777">
        <w:tc>
          <w:tcPr>
            <w:tcW w:w="2964" w:type="dxa"/>
            <w:tcBorders>
              <w:top w:val="nil"/>
              <w:left w:val="nil"/>
              <w:bottom w:val="nil"/>
              <w:right w:val="nil"/>
            </w:tcBorders>
          </w:tcPr>
          <w:p w14:paraId="17D0A318" w14:textId="77777777" w:rsidR="00E72CA9" w:rsidRDefault="00D516E3">
            <w:r>
              <w:t>Source</w:t>
            </w:r>
          </w:p>
        </w:tc>
        <w:tc>
          <w:tcPr>
            <w:tcW w:w="6804" w:type="dxa"/>
            <w:tcBorders>
              <w:left w:val="nil"/>
              <w:right w:val="nil"/>
            </w:tcBorders>
          </w:tcPr>
          <w:p w14:paraId="3A0D9BD9" w14:textId="77777777" w:rsidR="00E72CA9" w:rsidRDefault="00D516E3">
            <w:r>
              <w:t>Idealised, isotropic point, collimated beams</w:t>
            </w:r>
          </w:p>
          <w:p w14:paraId="37209C4A" w14:textId="77777777" w:rsidR="00E72CA9" w:rsidRDefault="00D516E3">
            <w:r>
              <w:t>Collimation is idealised</w:t>
            </w:r>
          </w:p>
          <w:p w14:paraId="79188F28" w14:textId="77777777" w:rsidR="00E72CA9" w:rsidRDefault="00D516E3">
            <w:r>
              <w:t>Phantoms placed in vacuum</w:t>
            </w:r>
          </w:p>
        </w:tc>
      </w:tr>
      <w:tr w:rsidR="00E72CA9" w14:paraId="5DF9EA7C" w14:textId="77777777">
        <w:tc>
          <w:tcPr>
            <w:tcW w:w="2964" w:type="dxa"/>
            <w:tcBorders>
              <w:top w:val="nil"/>
              <w:left w:val="nil"/>
              <w:bottom w:val="nil"/>
              <w:right w:val="nil"/>
            </w:tcBorders>
          </w:tcPr>
          <w:p w14:paraId="291A50FF" w14:textId="77777777" w:rsidR="00E72CA9" w:rsidRDefault="00D516E3">
            <w:r>
              <w:t>Anthropomorphic phantoms</w:t>
            </w:r>
          </w:p>
        </w:tc>
        <w:tc>
          <w:tcPr>
            <w:tcW w:w="6804" w:type="dxa"/>
            <w:tcBorders>
              <w:left w:val="nil"/>
              <w:right w:val="nil"/>
            </w:tcBorders>
          </w:tcPr>
          <w:p w14:paraId="71A1FE61" w14:textId="77777777" w:rsidR="00E72CA9" w:rsidRDefault="00D516E3">
            <w:r>
              <w:t xml:space="preserve">ICRP reference voxel phantoms (ICRP, 2009), adult and newborn,1-, 5-, 10-, 15- year old </w:t>
            </w:r>
            <w:r>
              <w:fldChar w:fldCharType="begin"/>
            </w:r>
            <w:r>
              <w:instrText xml:space="preserve"> ADDIN EN.CITE &lt;EndNote&gt;&lt;Cite&gt;&lt;Author&gt;ICRP&lt;/Author&gt;&lt;Year&gt;2020&lt;/Year&gt;&lt;RecNum&gt;11821&lt;/RecNum&gt;&lt;DisplayText&gt;(ICRP, 2020a)&lt;/DisplayText&gt;&lt;record&gt;&lt;rec-number&gt;11821&lt;/rec-number&gt;&lt;foreign-keys&gt;&lt;key app="EN" db-id="rss5s0wzrpx9pwe5a0h5a9wkx9sf2zexde9d" timestamp="1612882712"&gt;11821&lt;/key&gt;&lt;/foreign-keys&gt;&lt;ref-type name="Journal Article"&gt;17&lt;/ref-type&gt;&lt;contributors&gt;&lt;authors&gt;&lt;author&gt;ICRP,&lt;/author&gt;&lt;/authors&gt;&lt;secondary-authors&gt;&lt;author&gt;Sage&lt;/author&gt;&lt;/secondary-authors&gt;&lt;/contributors&gt;&lt;titles&gt;&lt;title&gt;Paediatric Reference Computational Phantoms. ICRP Publication 143&lt;/title&gt;&lt;secondary-title&gt;Annals of the ICRP&lt;/secondary-title&gt;&lt;/titles&gt;&lt;periodical&gt;&lt;full-title&gt;Annals of the ICRP&lt;/full-title&gt;&lt;abbr-1&gt;Ann. ICRP&lt;/abbr-1&gt;&lt;abbr-2&gt;Ann ICRP&lt;/abbr-2&gt;&lt;/periodical&gt;&lt;volume&gt;49&lt;/volume&gt;&lt;number&gt;1&lt;/number&gt;&lt;dates&gt;&lt;year&gt;2020&lt;/year&gt;&lt;/dates&gt;&lt;publisher&gt;International Commission of Radiological Protection&lt;/publisher&gt;&lt;orig-pub&gt;Annals ICRP 49(1)&lt;/orig-pub&gt;&lt;isbn&gt;143&lt;/isbn&gt;&lt;work-type&gt;ICRP Publication&lt;/work-type&gt;&lt;urls&gt;&lt;/urls&gt;&lt;/record&gt;&lt;/Cite&gt;&lt;/EndNote&gt;</w:instrText>
            </w:r>
            <w:r>
              <w:fldChar w:fldCharType="separate"/>
            </w:r>
            <w:r>
              <w:rPr>
                <w:noProof/>
              </w:rPr>
              <w:t>(ICRP, 2020a)</w:t>
            </w:r>
            <w:r>
              <w:fldChar w:fldCharType="end"/>
            </w:r>
          </w:p>
          <w:p w14:paraId="6EA8D4D5" w14:textId="77777777" w:rsidR="00E72CA9" w:rsidRDefault="00D516E3">
            <w:r>
              <w:t>Note newborn, 1-, 5-, 10-year-old, male and female, have identical anatomy, besides the gonads</w:t>
            </w:r>
          </w:p>
        </w:tc>
      </w:tr>
      <w:tr w:rsidR="00E72CA9" w14:paraId="710B6D9C" w14:textId="77777777">
        <w:tc>
          <w:tcPr>
            <w:tcW w:w="2964" w:type="dxa"/>
            <w:tcBorders>
              <w:top w:val="nil"/>
              <w:left w:val="nil"/>
              <w:bottom w:val="nil"/>
              <w:right w:val="nil"/>
            </w:tcBorders>
          </w:tcPr>
          <w:p w14:paraId="57A581AB" w14:textId="77777777" w:rsidR="00E72CA9" w:rsidRDefault="00D516E3">
            <w:r>
              <w:t xml:space="preserve">Position of arms of phantoms </w:t>
            </w:r>
          </w:p>
        </w:tc>
        <w:tc>
          <w:tcPr>
            <w:tcW w:w="6804" w:type="dxa"/>
            <w:tcBorders>
              <w:left w:val="nil"/>
              <w:right w:val="nil"/>
            </w:tcBorders>
          </w:tcPr>
          <w:p w14:paraId="036C692C" w14:textId="77777777" w:rsidR="00E72CA9" w:rsidRDefault="00D516E3">
            <w:r>
              <w:t>See Table 4.1</w:t>
            </w:r>
          </w:p>
        </w:tc>
      </w:tr>
      <w:tr w:rsidR="00E72CA9" w14:paraId="3730B633" w14:textId="77777777">
        <w:tc>
          <w:tcPr>
            <w:tcW w:w="2964" w:type="dxa"/>
            <w:tcBorders>
              <w:top w:val="nil"/>
              <w:left w:val="nil"/>
              <w:bottom w:val="nil"/>
              <w:right w:val="nil"/>
            </w:tcBorders>
          </w:tcPr>
          <w:p w14:paraId="5E78F574" w14:textId="77777777" w:rsidR="00E72CA9" w:rsidRDefault="00D516E3">
            <w:r>
              <w:t>Projections (examinations) simulated</w:t>
            </w:r>
          </w:p>
        </w:tc>
        <w:tc>
          <w:tcPr>
            <w:tcW w:w="6804" w:type="dxa"/>
            <w:tcBorders>
              <w:left w:val="nil"/>
              <w:right w:val="nil"/>
            </w:tcBorders>
          </w:tcPr>
          <w:p w14:paraId="616D3FAD" w14:textId="77777777" w:rsidR="00E72CA9" w:rsidRDefault="00D516E3">
            <w:r>
              <w:t>See Tables 3.2, 3.3; most frequent radiographic examinations, good radiographic practice, standard conditions</w:t>
            </w:r>
          </w:p>
        </w:tc>
      </w:tr>
      <w:tr w:rsidR="00E72CA9" w14:paraId="318A5DE7" w14:textId="77777777">
        <w:tc>
          <w:tcPr>
            <w:tcW w:w="2964" w:type="dxa"/>
            <w:tcBorders>
              <w:top w:val="nil"/>
              <w:left w:val="nil"/>
              <w:bottom w:val="nil"/>
              <w:right w:val="nil"/>
            </w:tcBorders>
          </w:tcPr>
          <w:p w14:paraId="62CAA103" w14:textId="77777777" w:rsidR="00E72CA9" w:rsidRDefault="00D516E3">
            <w:r>
              <w:t>Skeletal dosimetry</w:t>
            </w:r>
          </w:p>
        </w:tc>
        <w:tc>
          <w:tcPr>
            <w:tcW w:w="6804" w:type="dxa"/>
            <w:tcBorders>
              <w:left w:val="nil"/>
              <w:right w:val="nil"/>
            </w:tcBorders>
          </w:tcPr>
          <w:p w14:paraId="128FCBCE" w14:textId="77777777" w:rsidR="00E72CA9" w:rsidRDefault="00D516E3">
            <w:r>
              <w:t xml:space="preserve">Use of Dose Response Functions, DRF, </w:t>
            </w:r>
            <w:r>
              <w:fldChar w:fldCharType="begin"/>
            </w:r>
            <w:r>
              <w:instrText xml:space="preserve"> ADDIN EN.CITE &lt;EndNote&gt;&lt;Cite&gt;&lt;Author&gt;ICRP&lt;/Author&gt;&lt;Year&gt;2010&lt;/Year&gt;&lt;RecNum&gt;11772&lt;/RecNum&gt;&lt;DisplayText&gt;(ICRP, 2010)&lt;/DisplayText&gt;&lt;record&gt;&lt;rec-number&gt;11772&lt;/rec-number&gt;&lt;foreign-keys&gt;&lt;key app="EN" db-id="rss5s0wzrpx9pwe5a0h5a9wkx9sf2zexde9d" timestamp="1612861899"&gt;11772&lt;/key&gt;&lt;/foreign-keys&gt;&lt;ref-type name="Journal Article"&gt;17&lt;/ref-type&gt;&lt;contributors&gt;&lt;authors&gt;&lt;author&gt;ICRP,&lt;/author&gt;&lt;/authors&gt;&lt;tertiary-authors&gt;&lt;author&gt;Elsevier&lt;/author&gt;&lt;/tertiary-authors&gt;&lt;/contributors&gt;&lt;titles&gt;&lt;title&gt;Conversion Coefficients for Radiological Protection Quantities for External Radiation Exposures. ICRP Publication 116&lt;/title&gt;&lt;secondary-title&gt;Annals of the ICRP&lt;/secondary-title&gt;&lt;/titles&gt;&lt;periodical&gt;&lt;full-title&gt;Annals of the ICRP&lt;/full-title&gt;&lt;abbr-1&gt;Ann. ICRP&lt;/abbr-1&gt;&lt;abbr-2&gt;Ann ICRP&lt;/abbr-2&gt;&lt;/periodical&gt;&lt;volume&gt;40&lt;/volume&gt;&lt;number&gt;2-5&lt;/number&gt;&lt;dates&gt;&lt;year&gt;2010&lt;/year&gt;&lt;/dates&gt;&lt;pub-location&gt;Oxford, UK&lt;/pub-location&gt;&lt;publisher&gt;International Commission of Radiological Protection&lt;/publisher&gt;&lt;orig-pub&gt;Ann. ICRP 40(2-5)&lt;/orig-pub&gt;&lt;isbn&gt;116&lt;/isbn&gt;&lt;work-type&gt;ICRP Publication&lt;/work-type&gt;&lt;urls&gt;&lt;/urls&gt;&lt;/record&gt;&lt;/Cite&gt;&lt;/EndNote&gt;</w:instrText>
            </w:r>
            <w:r>
              <w:fldChar w:fldCharType="separate"/>
            </w:r>
            <w:r>
              <w:rPr>
                <w:noProof/>
              </w:rPr>
              <w:t>(ICRP, 2010)</w:t>
            </w:r>
            <w:r>
              <w:fldChar w:fldCharType="end"/>
            </w:r>
            <w:r>
              <w:t>. See Annex C</w:t>
            </w:r>
          </w:p>
        </w:tc>
      </w:tr>
      <w:tr w:rsidR="00E72CA9" w14:paraId="4C6BF43A" w14:textId="77777777">
        <w:tc>
          <w:tcPr>
            <w:tcW w:w="2964" w:type="dxa"/>
            <w:tcBorders>
              <w:top w:val="nil"/>
              <w:left w:val="nil"/>
              <w:bottom w:val="nil"/>
              <w:right w:val="nil"/>
            </w:tcBorders>
          </w:tcPr>
          <w:p w14:paraId="24412602" w14:textId="77777777" w:rsidR="00E72CA9" w:rsidRDefault="00D516E3">
            <w:r>
              <w:t>Organs and tissues for which dose coefficients are given</w:t>
            </w:r>
          </w:p>
        </w:tc>
        <w:tc>
          <w:tcPr>
            <w:tcW w:w="6804" w:type="dxa"/>
            <w:tcBorders>
              <w:left w:val="nil"/>
              <w:right w:val="nil"/>
            </w:tcBorders>
          </w:tcPr>
          <w:p w14:paraId="725BF251" w14:textId="77777777" w:rsidR="00E72CA9" w:rsidRDefault="00D516E3">
            <w:r>
              <w:t>Red bone marrow (R-marrow), colon, lung, stomach (ST-wall), breast, ovaries or testes (gonads), bladder (UB-wall), oesophagus, liver, thyroid, skeletal endosteum (</w:t>
            </w:r>
            <w:proofErr w:type="spellStart"/>
            <w:r>
              <w:t>Endost</w:t>
            </w:r>
            <w:proofErr w:type="spellEnd"/>
            <w:r>
              <w:t>-BS), brain, salivary glands (S-glands), skin, remainder tissues: adrenals, extrathoracic (ET) region, gall bladder (GB-wall,) heart (Ht-wall), kidneys, lymphatic nodes, muscle, oral mucosa (O-mucosa), pancreas, prostate, small intestine (SI-wall), spleen, thymus, uterus/cervix and lens of the eye</w:t>
            </w:r>
          </w:p>
        </w:tc>
      </w:tr>
      <w:tr w:rsidR="00E72CA9" w14:paraId="28941302" w14:textId="77777777">
        <w:tc>
          <w:tcPr>
            <w:tcW w:w="2964" w:type="dxa"/>
            <w:tcBorders>
              <w:top w:val="nil"/>
              <w:left w:val="nil"/>
              <w:bottom w:val="nil"/>
              <w:right w:val="nil"/>
            </w:tcBorders>
          </w:tcPr>
          <w:p w14:paraId="64853700" w14:textId="77777777" w:rsidR="00E72CA9" w:rsidRDefault="00D516E3">
            <w:r>
              <w:t>Dose coefficients</w:t>
            </w:r>
          </w:p>
        </w:tc>
        <w:tc>
          <w:tcPr>
            <w:tcW w:w="6804" w:type="dxa"/>
            <w:tcBorders>
              <w:left w:val="nil"/>
              <w:right w:val="nil"/>
            </w:tcBorders>
          </w:tcPr>
          <w:p w14:paraId="659BE459" w14:textId="77777777" w:rsidR="00E72CA9" w:rsidRDefault="00D516E3">
            <w:r>
              <w:t>Given for each phantom, male and female, separately</w:t>
            </w:r>
          </w:p>
        </w:tc>
      </w:tr>
      <w:tr w:rsidR="00E72CA9" w14:paraId="519DB89B" w14:textId="77777777">
        <w:tc>
          <w:tcPr>
            <w:tcW w:w="2964" w:type="dxa"/>
            <w:tcBorders>
              <w:top w:val="nil"/>
              <w:left w:val="nil"/>
              <w:bottom w:val="nil"/>
              <w:right w:val="nil"/>
            </w:tcBorders>
          </w:tcPr>
          <w:p w14:paraId="53AA040C" w14:textId="77777777" w:rsidR="00E72CA9" w:rsidRDefault="00D516E3">
            <w:r>
              <w:t>Effective dose</w:t>
            </w:r>
          </w:p>
        </w:tc>
        <w:tc>
          <w:tcPr>
            <w:tcW w:w="6804" w:type="dxa"/>
            <w:tcBorders>
              <w:left w:val="nil"/>
              <w:right w:val="nil"/>
            </w:tcBorders>
          </w:tcPr>
          <w:p w14:paraId="3C6A35C6" w14:textId="77777777" w:rsidR="00E72CA9" w:rsidRDefault="00D516E3">
            <w:r>
              <w:t>The contribution of the male and female phantoms is given separately</w:t>
            </w:r>
          </w:p>
        </w:tc>
      </w:tr>
      <w:tr w:rsidR="00E72CA9" w14:paraId="5293CF20" w14:textId="77777777">
        <w:tc>
          <w:tcPr>
            <w:tcW w:w="2964" w:type="dxa"/>
            <w:tcBorders>
              <w:top w:val="nil"/>
              <w:left w:val="nil"/>
              <w:bottom w:val="nil"/>
              <w:right w:val="nil"/>
            </w:tcBorders>
          </w:tcPr>
          <w:p w14:paraId="2ABFFDAF" w14:textId="77777777" w:rsidR="00E72CA9" w:rsidRDefault="00D516E3">
            <w:r>
              <w:t>Normalisation quantity</w:t>
            </w:r>
          </w:p>
        </w:tc>
        <w:tc>
          <w:tcPr>
            <w:tcW w:w="6804" w:type="dxa"/>
            <w:tcBorders>
              <w:left w:val="nil"/>
              <w:right w:val="nil"/>
            </w:tcBorders>
          </w:tcPr>
          <w:p w14:paraId="2273E137" w14:textId="77777777" w:rsidR="00E72CA9" w:rsidRDefault="00D516E3">
            <w:r>
              <w:t>Dose per fluence at 1 m from the source</w:t>
            </w:r>
          </w:p>
        </w:tc>
      </w:tr>
      <w:tr w:rsidR="00E72CA9" w14:paraId="37C2A44B" w14:textId="77777777">
        <w:tc>
          <w:tcPr>
            <w:tcW w:w="2964" w:type="dxa"/>
            <w:tcBorders>
              <w:top w:val="nil"/>
              <w:left w:val="nil"/>
              <w:right w:val="nil"/>
            </w:tcBorders>
          </w:tcPr>
          <w:p w14:paraId="0B7DD7CB" w14:textId="77777777" w:rsidR="00E72CA9" w:rsidRDefault="00D516E3">
            <w:r>
              <w:t>Purpose of dose coefficients</w:t>
            </w:r>
          </w:p>
        </w:tc>
        <w:tc>
          <w:tcPr>
            <w:tcW w:w="6804" w:type="dxa"/>
            <w:tcBorders>
              <w:left w:val="nil"/>
              <w:right w:val="nil"/>
            </w:tcBorders>
          </w:tcPr>
          <w:p w14:paraId="75CC4010" w14:textId="77777777" w:rsidR="00E72CA9" w:rsidRDefault="00D516E3">
            <w:r>
              <w:t>To be used for convolution with an x-ray spectral distribution to obtain spectral dose coefficients</w:t>
            </w:r>
          </w:p>
        </w:tc>
      </w:tr>
    </w:tbl>
    <w:p w14:paraId="41259C1A" w14:textId="77777777" w:rsidR="00E72CA9" w:rsidRDefault="00D516E3">
      <w:pPr>
        <w:rPr>
          <w:b/>
          <w:bCs/>
          <w:sz w:val="20"/>
          <w:szCs w:val="20"/>
        </w:rPr>
      </w:pPr>
      <w:r>
        <w:rPr>
          <w:sz w:val="20"/>
          <w:szCs w:val="20"/>
        </w:rPr>
        <w:t>GEANT4, Geometry and Tracking, version 4; EGSnrc, Electron Gamma Shower National Research Council of Canada.</w:t>
      </w:r>
    </w:p>
    <w:p w14:paraId="5AE25687" w14:textId="77777777" w:rsidR="00E72CA9" w:rsidRDefault="00D516E3">
      <w:pPr>
        <w:pStyle w:val="3"/>
      </w:pPr>
      <w:bookmarkStart w:id="78" w:name="_Toc510393128"/>
      <w:bookmarkStart w:id="79" w:name="_Toc510394612"/>
      <w:bookmarkStart w:id="80" w:name="_Toc158293331"/>
      <w:r>
        <w:t>EGSnrc</w:t>
      </w:r>
      <w:bookmarkEnd w:id="78"/>
      <w:bookmarkEnd w:id="79"/>
      <w:bookmarkEnd w:id="80"/>
      <w:r>
        <w:t xml:space="preserve"> </w:t>
      </w:r>
    </w:p>
    <w:p w14:paraId="381E6504" w14:textId="77777777" w:rsidR="00E72CA9" w:rsidRDefault="00D516E3">
      <w:pPr>
        <w:pStyle w:val="ICRPnumberedparagraph"/>
        <w:ind w:left="0"/>
        <w:rPr>
          <w:snapToGrid w:val="0"/>
          <w:szCs w:val="20"/>
          <w:lang w:eastAsia="sv-SE"/>
        </w:rPr>
      </w:pPr>
      <w:r>
        <w:t xml:space="preserve">Organ absorbed and effective dose coefficients for the adult reference phantoms were calculated at the </w:t>
      </w:r>
      <w:proofErr w:type="spellStart"/>
      <w:r>
        <w:t>Helmholz</w:t>
      </w:r>
      <w:proofErr w:type="spellEnd"/>
      <w:r>
        <w:t xml:space="preserve"> Zentrum Munich and Federal Office for Radiation Protection (</w:t>
      </w:r>
      <w:proofErr w:type="spellStart"/>
      <w:r>
        <w:t>BfS</w:t>
      </w:r>
      <w:proofErr w:type="spellEnd"/>
      <w:r>
        <w:t xml:space="preserve">), Germany, using a code developed specifically for organ dose calculations </w:t>
      </w:r>
      <w:r>
        <w:fldChar w:fldCharType="begin"/>
      </w:r>
      <w:r>
        <w:instrText xml:space="preserve"> ADDIN EN.CITE &lt;EndNote&gt;&lt;Cite&gt;&lt;Author&gt;Schlattl&lt;/Author&gt;&lt;Year&gt;2012&lt;/Year&gt;&lt;RecNum&gt;9246&lt;/RecNum&gt;&lt;DisplayText&gt;(Schlattl et al., 2012)&lt;/DisplayText&gt;&lt;record&gt;&lt;rec-number&gt;9246&lt;/rec-number&gt;&lt;foreign-keys&gt;&lt;key app="EN" db-id="rss5s0wzrpx9pwe5a0h5a9wkx9sf2zexde9d" timestamp="0"&gt;9246&lt;/key&gt;&lt;/foreign-keys&gt;&lt;ref-type name="Journal Article"&gt;17&lt;/ref-type&gt;&lt;contributors&gt;&lt;authors&gt;&lt;author&gt;Schlattl, H. &lt;/author&gt;&lt;author&gt;Zankl, M.&lt;/author&gt;&lt;author&gt;Becker, J. &lt;/author&gt;&lt;author&gt;Hoeschen, C.&lt;/author&gt;&lt;/authors&gt;&lt;/contributors&gt;&lt;titles&gt;&lt;title&gt;Dose conversion coefficients for paediatric CT examinations with automatic tube current modulation&lt;/title&gt;&lt;secondary-title&gt;Physics in Medicine and Biology&lt;/secondary-title&gt;&lt;/titles&gt;&lt;pages&gt;6309-6326&lt;/pages&gt;&lt;volume&gt;57&lt;/volume&gt;&lt;number&gt;20&lt;/number&gt;&lt;dates&gt;&lt;year&gt;2012&lt;/year&gt;&lt;/dates&gt;&lt;isbn&gt;0031-9155&lt;/isbn&gt;&lt;urls&gt;&lt;related-urls&gt;&lt;url&gt;http://stacks.iop.org/0031-9155/57/i=20/a=6309 &lt;/url&gt;&lt;/related-urls&gt;&lt;/urls&gt;&lt;/record&gt;&lt;/Cite&gt;&lt;/EndNote&gt;</w:instrText>
      </w:r>
      <w:r>
        <w:fldChar w:fldCharType="separate"/>
      </w:r>
      <w:r>
        <w:rPr>
          <w:noProof/>
        </w:rPr>
        <w:t>(Schlattl et al., 2012)</w:t>
      </w:r>
      <w:r>
        <w:fldChar w:fldCharType="end"/>
      </w:r>
      <w:r>
        <w:t xml:space="preserve"> employing the electron-gamma-shower code system EGSnrc Version v4-2-3-1 </w:t>
      </w:r>
      <w:r>
        <w:fldChar w:fldCharType="begin"/>
      </w:r>
      <w:r>
        <w:instrText xml:space="preserve"> ADDIN EN.CITE &lt;EndNote&gt;&lt;Cite&gt;&lt;Author&gt;Kawrakow&lt;/Author&gt;&lt;Year&gt;2009&lt;/Year&gt;&lt;RecNum&gt;6607&lt;/RecNum&gt;&lt;DisplayText&gt;(Kawrakow et al., 2009)&lt;/DisplayText&gt;&lt;record&gt;&lt;rec-number&gt;6607&lt;/rec-number&gt;&lt;foreign-keys&gt;&lt;key app="EN" db-id="rss5s0wzrpx9pwe5a0h5a9wkx9sf2zexde9d" timestamp="1272529437"&gt;6607&lt;/key&gt;&lt;/foreign-keys&gt;&lt;ref-type name="Report"&gt;27&lt;/ref-type&gt;&lt;contributors&gt;&lt;authors&gt;&lt;author&gt;Kawrakow, I.&lt;/author&gt;&lt;author&gt;Mainegra-Hing, E.&lt;/author&gt;&lt;author&gt;Rogers, D.W.O.&lt;/author&gt;&lt;author&gt;Tessier, F.&lt;/author&gt;&lt;author&gt;Walters, B.R.B.&lt;/author&gt;&lt;/authors&gt;&lt;/contributors&gt;&lt;titles&gt;&lt;title&gt;The EGSnrc code system: Monte Carlo simulation of electron and photon transport&lt;/title&gt;&lt;/titles&gt;&lt;dates&gt;&lt;year&gt;2009&lt;/year&gt;&lt;/dates&gt;&lt;pub-location&gt;Ottawa&lt;/pub-location&gt;&lt;publisher&gt;National Research Council of Canada (NRCC)&lt;/publisher&gt;&lt;isbn&gt;701&lt;/isbn&gt;&lt;work-type&gt;PIRS Report&lt;/work-type&gt;&lt;urls&gt;&lt;/urls&gt;&lt;/record&gt;&lt;/Cite&gt;&lt;/EndNote&gt;</w:instrText>
      </w:r>
      <w:r>
        <w:fldChar w:fldCharType="separate"/>
      </w:r>
      <w:r>
        <w:rPr>
          <w:noProof/>
        </w:rPr>
        <w:t>(Kawrakow et al., 2009)</w:t>
      </w:r>
      <w:r>
        <w:fldChar w:fldCharType="end"/>
      </w:r>
      <w:r>
        <w:t xml:space="preserve">. EGSnrc is an extended and improved version of EGS4 </w:t>
      </w:r>
      <w:r>
        <w:fldChar w:fldCharType="begin"/>
      </w:r>
      <w:r>
        <w:instrText xml:space="preserve"> ADDIN EN.CITE &lt;EndNote&gt;&lt;Cite&gt;&lt;Author&gt;Nelson&lt;/Author&gt;&lt;Year&gt;1985&lt;/Year&gt;&lt;RecNum&gt;3052&lt;/RecNum&gt;&lt;DisplayText&gt;(Nelson et al., 1985)&lt;/DisplayText&gt;&lt;record&gt;&lt;rec-number&gt;3052&lt;/rec-number&gt;&lt;foreign-keys&gt;&lt;key app="EN" db-id="rss5s0wzrpx9pwe5a0h5a9wkx9sf2zexde9d" timestamp="0"&gt;3052&lt;/key&gt;&lt;/foreign-keys&gt;&lt;ref-type name="Report"&gt;27&lt;/ref-type&gt;&lt;contributors&gt;&lt;authors&gt;&lt;author&gt;Nelson, W.R.&lt;/author&gt;&lt;author&gt;Hirayama, H.&lt;/author&gt;&lt;author&gt;Rogers, D.W.O.&lt;/author&gt;&lt;/authors&gt;&lt;/contributors&gt;&lt;titles&gt;&lt;title&gt;The EGS4 code system&lt;/title&gt;&lt;/titles&gt;&lt;dates&gt;&lt;year&gt;1985&lt;/year&gt;&lt;/dates&gt;&lt;pub-location&gt;Stanford, CA&lt;/pub-location&gt;&lt;publisher&gt;Stanford Linear Accelerator Center&lt;/publisher&gt;&lt;isbn&gt;265&lt;/isbn&gt;&lt;work-type&gt;SLAC Report&lt;/work-type&gt;&lt;urls&gt;&lt;/urls&gt;&lt;/record&gt;&lt;/Cite&gt;&lt;/EndNote&gt;</w:instrText>
      </w:r>
      <w:r>
        <w:fldChar w:fldCharType="separate"/>
      </w:r>
      <w:r>
        <w:rPr>
          <w:noProof/>
        </w:rPr>
        <w:t>(Nelson et al., 1985)</w:t>
      </w:r>
      <w:r>
        <w:fldChar w:fldCharType="end"/>
      </w:r>
      <w:r>
        <w:t xml:space="preserve">, maintained by the National Research Council of Canada (NRC). The transport of photons and electrons can be simulated for particle kinetic energies from a few keV up to several hundred GeV. </w:t>
      </w:r>
    </w:p>
    <w:p w14:paraId="01161A7B" w14:textId="77777777" w:rsidR="00E72CA9" w:rsidRDefault="00D516E3">
      <w:pPr>
        <w:pStyle w:val="Annalstext"/>
        <w:numPr>
          <w:ilvl w:val="0"/>
          <w:numId w:val="1"/>
        </w:numPr>
        <w:tabs>
          <w:tab w:val="clear" w:pos="644"/>
        </w:tabs>
        <w:ind w:left="0"/>
      </w:pPr>
      <w:r>
        <w:t>For photon transport, bound Compton scattering and secondary photo-electrons from K, L, and M shells are considered for all energies. In both cases, resulting fluorescence or Auger and Coster-</w:t>
      </w:r>
      <w:proofErr w:type="spellStart"/>
      <w:r>
        <w:t>Kronig</w:t>
      </w:r>
      <w:proofErr w:type="spellEnd"/>
      <w:r>
        <w:t xml:space="preserve"> electrons are followed. The input data for photon cross sections agree with those of the XCOM database </w:t>
      </w:r>
      <w:r>
        <w:fldChar w:fldCharType="begin"/>
      </w:r>
      <w:r>
        <w:instrText xml:space="preserve"> ADDIN EN.CITE &lt;EndNote&gt;&lt;Cite&gt;&lt;Author&gt;Berger&lt;/Author&gt;&lt;Year&gt;1987&lt;/Year&gt;&lt;RecNum&gt;3068&lt;/RecNum&gt;&lt;DisplayText&gt;(Berger and Hubbell, 1987)&lt;/DisplayText&gt;&lt;record&gt;&lt;rec-number&gt;3068&lt;/rec-number&gt;&lt;foreign-keys&gt;&lt;key app="EN" db-id="rss5s0wzrpx9pwe5a0h5a9wkx9sf2zexde9d" timestamp="0"&gt;3068&lt;/key&gt;&lt;/foreign-keys&gt;&lt;ref-type name="Report"&gt;27&lt;/ref-type&gt;&lt;contributors&gt;&lt;authors&gt;&lt;author&gt;Berger, M.J.&lt;/author&gt;&lt;author&gt;Hubbell, J.H.&lt;/author&gt;&lt;/authors&gt;&lt;/contributors&gt;&lt;titles&gt;&lt;title&gt;XCOM: photon cross sections on a personal computer&lt;/title&gt;&lt;/titles&gt;&lt;dates&gt;&lt;year&gt;1987&lt;/year&gt;&lt;/dates&gt;&lt;pub-location&gt;Gaithersburg, MD&lt;/pub-location&gt;&lt;publisher&gt;National Bureau of Standards (former name of NIST)&lt;/publisher&gt;&lt;isbn&gt;NBSIR 87-3597&lt;/isbn&gt;&lt;urls&gt;&lt;/urls&gt;&lt;/record&gt;&lt;/Cite&gt;&lt;/EndNote&gt;</w:instrText>
      </w:r>
      <w:r>
        <w:fldChar w:fldCharType="separate"/>
      </w:r>
      <w:r>
        <w:rPr>
          <w:noProof/>
        </w:rPr>
        <w:t>(Berger and Hubbell, 1987)</w:t>
      </w:r>
      <w:r>
        <w:fldChar w:fldCharType="end"/>
      </w:r>
      <w:r>
        <w:t>.</w:t>
      </w:r>
    </w:p>
    <w:p w14:paraId="480293DC" w14:textId="77777777" w:rsidR="00E72CA9" w:rsidRDefault="00D516E3">
      <w:pPr>
        <w:pStyle w:val="ICRPnumberedparagraph"/>
        <w:ind w:left="0"/>
        <w:rPr>
          <w:snapToGrid w:val="0"/>
          <w:szCs w:val="20"/>
          <w:lang w:eastAsia="sv-SE"/>
        </w:rPr>
      </w:pPr>
      <w:r>
        <w:rPr>
          <w:snapToGrid w:val="0"/>
          <w:szCs w:val="20"/>
          <w:lang w:eastAsia="sv-SE"/>
        </w:rPr>
        <w:lastRenderedPageBreak/>
        <w:t xml:space="preserve">For the calculations performed for this </w:t>
      </w:r>
      <w:r>
        <w:t>publication</w:t>
      </w:r>
      <w:r>
        <w:rPr>
          <w:snapToGrid w:val="0"/>
          <w:szCs w:val="20"/>
          <w:lang w:eastAsia="sv-SE"/>
        </w:rPr>
        <w:t>, photon transport is terminated when the photon energy is at or below 2 keV. Secondary electrons are followed until their kinetic energy drops below 20 keV.</w:t>
      </w:r>
    </w:p>
    <w:p w14:paraId="25EF3B16" w14:textId="77777777" w:rsidR="00E72CA9" w:rsidRDefault="00D516E3">
      <w:pPr>
        <w:pStyle w:val="Annalstext"/>
        <w:numPr>
          <w:ilvl w:val="0"/>
          <w:numId w:val="1"/>
        </w:numPr>
        <w:tabs>
          <w:tab w:val="clear" w:pos="644"/>
        </w:tabs>
        <w:ind w:left="0"/>
        <w:rPr>
          <w:rFonts w:eastAsia="Times New Roman"/>
          <w:szCs w:val="24"/>
          <w:lang w:eastAsia="en-GB"/>
        </w:rPr>
      </w:pPr>
      <w:r>
        <w:t>Simulations were made only for photons in the energy range of 3 to 150 keV. The number of histories followed was 10 million for each single energy (in steps of 1 keV), resulting in coefficients of variance below 1–2% for most organs in the field, i.e. receiving primary radiation. For small organs outside the beam, the coefficients of variance per single photon energy could amount to several tens of percent</w:t>
      </w:r>
      <w:r>
        <w:rPr>
          <w:rFonts w:eastAsia="Times New Roman"/>
          <w:szCs w:val="24"/>
          <w:lang w:eastAsia="en-GB"/>
        </w:rPr>
        <w:t>.</w:t>
      </w:r>
    </w:p>
    <w:p w14:paraId="65BA89F7" w14:textId="77777777" w:rsidR="00E72CA9" w:rsidRDefault="00D516E3">
      <w:pPr>
        <w:pStyle w:val="Annalstext"/>
        <w:numPr>
          <w:ilvl w:val="0"/>
          <w:numId w:val="1"/>
        </w:numPr>
        <w:ind w:left="0"/>
        <w:rPr>
          <w:rFonts w:eastAsia="Times New Roman"/>
          <w:szCs w:val="24"/>
          <w:lang w:eastAsia="en-GB"/>
        </w:rPr>
      </w:pPr>
      <w:r>
        <w:t>Organ absorbed dose coefficients calculated for monoenergetic values for all defined organs/tissues, including all those explicitly noted in the definition of the effective dose and all remainder tissues, are given as absorbed dose per fluence at the reference plane. Since this document refers to x-ray beams, and the radiation weighting factor (</w:t>
      </w:r>
      <w:proofErr w:type="spellStart"/>
      <w:r>
        <w:rPr>
          <w:i/>
        </w:rPr>
        <w:t>w</w:t>
      </w:r>
      <w:r>
        <w:rPr>
          <w:vertAlign w:val="subscript"/>
        </w:rPr>
        <w:t>R</w:t>
      </w:r>
      <w:proofErr w:type="spellEnd"/>
      <w:r>
        <w:t>) of photons equals to unity, the equivalent dose coefficients are numerically equivalent to their corresponding absorbed dose coefficients.</w:t>
      </w:r>
    </w:p>
    <w:p w14:paraId="404BB3CE" w14:textId="77777777" w:rsidR="00E72CA9" w:rsidRDefault="00D516E3">
      <w:pPr>
        <w:pStyle w:val="Annalstext"/>
        <w:numPr>
          <w:ilvl w:val="0"/>
          <w:numId w:val="1"/>
        </w:numPr>
        <w:ind w:left="0"/>
      </w:pPr>
      <w:r>
        <w:t xml:space="preserve">The computational methods for determining the absorbed dose to active marrow and skeletal endosteum for the adult reference phantoms are described in Annex D of ICRP </w:t>
      </w:r>
      <w:r>
        <w:rPr>
          <w:i/>
        </w:rPr>
        <w:t>Publication</w:t>
      </w:r>
      <w:r>
        <w:t xml:space="preserve"> </w:t>
      </w:r>
      <w:r>
        <w:rPr>
          <w:i/>
          <w:iCs/>
        </w:rPr>
        <w:t>116</w:t>
      </w:r>
      <w:r>
        <w:t xml:space="preserve"> </w:t>
      </w:r>
      <w:r>
        <w:fldChar w:fldCharType="begin"/>
      </w:r>
      <w:r>
        <w:instrText xml:space="preserve"> ADDIN EN.CITE &lt;EndNote&gt;&lt;Cite&gt;&lt;Author&gt;ICRP&lt;/Author&gt;&lt;Year&gt;2010&lt;/Year&gt;&lt;RecNum&gt;11772&lt;/RecNum&gt;&lt;DisplayText&gt;(ICRP, 2010)&lt;/DisplayText&gt;&lt;record&gt;&lt;rec-number&gt;11772&lt;/rec-number&gt;&lt;foreign-keys&gt;&lt;key app="EN" db-id="rss5s0wzrpx9pwe5a0h5a9wkx9sf2zexde9d" timestamp="1612861899"&gt;11772&lt;/key&gt;&lt;/foreign-keys&gt;&lt;ref-type name="Journal Article"&gt;17&lt;/ref-type&gt;&lt;contributors&gt;&lt;authors&gt;&lt;author&gt;ICRP,&lt;/author&gt;&lt;/authors&gt;&lt;tertiary-authors&gt;&lt;author&gt;Elsevier&lt;/author&gt;&lt;/tertiary-authors&gt;&lt;/contributors&gt;&lt;titles&gt;&lt;title&gt;Conversion Coefficients for Radiological Protection Quantities for External Radiation Exposures. ICRP Publication 116&lt;/title&gt;&lt;secondary-title&gt;Annals of the ICRP&lt;/secondary-title&gt;&lt;/titles&gt;&lt;periodical&gt;&lt;full-title&gt;Annals of the ICRP&lt;/full-title&gt;&lt;abbr-1&gt;Ann. ICRP&lt;/abbr-1&gt;&lt;abbr-2&gt;Ann ICRP&lt;/abbr-2&gt;&lt;/periodical&gt;&lt;volume&gt;40&lt;/volume&gt;&lt;number&gt;2-5&lt;/number&gt;&lt;dates&gt;&lt;year&gt;2010&lt;/year&gt;&lt;/dates&gt;&lt;pub-location&gt;Oxford, UK&lt;/pub-location&gt;&lt;publisher&gt;International Commission of Radiological Protection&lt;/publisher&gt;&lt;orig-pub&gt;Ann. ICRP 40(2-5)&lt;/orig-pub&gt;&lt;isbn&gt;116&lt;/isbn&gt;&lt;work-type&gt;ICRP Publication&lt;/work-type&gt;&lt;urls&gt;&lt;/urls&gt;&lt;/record&gt;&lt;/Cite&gt;&lt;/EndNote&gt;</w:instrText>
      </w:r>
      <w:r>
        <w:fldChar w:fldCharType="separate"/>
      </w:r>
      <w:r>
        <w:rPr>
          <w:noProof/>
        </w:rPr>
        <w:t>(ICRP, 2010)</w:t>
      </w:r>
      <w:r>
        <w:fldChar w:fldCharType="end"/>
      </w:r>
      <w:r>
        <w:t>. They made use of the dose response functions (DRF) described therein. Additionally, Annex C of the present Publication explains their implementation to the Monte Carlo codes.</w:t>
      </w:r>
    </w:p>
    <w:p w14:paraId="333DAEF8" w14:textId="77777777" w:rsidR="00E72CA9" w:rsidRDefault="00D516E3">
      <w:pPr>
        <w:pStyle w:val="3"/>
      </w:pPr>
      <w:bookmarkStart w:id="81" w:name="_Toc158293332"/>
      <w:r>
        <w:t>GEANT4 code</w:t>
      </w:r>
      <w:bookmarkEnd w:id="81"/>
      <w:r>
        <w:t xml:space="preserve"> </w:t>
      </w:r>
    </w:p>
    <w:p w14:paraId="606E1E5C" w14:textId="77777777" w:rsidR="00E72CA9" w:rsidRDefault="00D516E3">
      <w:pPr>
        <w:pStyle w:val="Annalstext"/>
        <w:numPr>
          <w:ilvl w:val="0"/>
          <w:numId w:val="1"/>
        </w:numPr>
        <w:ind w:left="0"/>
      </w:pPr>
      <w:r>
        <w:t xml:space="preserve">Organ absorbed and effective dose coefficients for the paediatric reference phantoms were calculated in Yonsei University, South Korea, using GEANT4, an open source, general-purpose Monte Carlo code, which was developed in the C++ programming language, exploiting software engineering and object-oriented technology </w:t>
      </w:r>
      <w:r>
        <w:fldChar w:fldCharType="begin">
          <w:fldData xml:space="preserve">PEVuZE5vdGU+PENpdGU+PEF1dGhvcj5BZ29zdGluZWxsaTwvQXV0aG9yPjxZZWFyPjIwMDM8L1ll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==
</w:fldData>
        </w:fldChar>
      </w:r>
      <w:r>
        <w:instrText xml:space="preserve"> ADDIN EN.CITE </w:instrText>
      </w:r>
      <w:r>
        <w:fldChar w:fldCharType="begin">
          <w:fldData xml:space="preserve">PEVuZE5vdGU+PENpdGU+PEF1dGhvcj5BZ29zdGluZWxsaTwvQXV0aG9yPjxZZWFyPjIwMDM8L1ll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==
</w:fldData>
        </w:fldChar>
      </w:r>
      <w:r>
        <w:instrText xml:space="preserve"> ADDIN EN.CITE.DATA </w:instrText>
      </w:r>
      <w:r>
        <w:fldChar w:fldCharType="end"/>
      </w:r>
      <w:r>
        <w:fldChar w:fldCharType="separate"/>
      </w:r>
      <w:r>
        <w:rPr>
          <w:noProof/>
        </w:rPr>
        <w:t>(Agostinelli et al., 2003)</w:t>
      </w:r>
      <w:r>
        <w:fldChar w:fldCharType="end"/>
      </w:r>
      <w:r>
        <w:t>. Since the first public release in 1998, the GEANT4 code has been improved and maintained by the GEANT4 collaboration of various international research groups (</w:t>
      </w:r>
      <w:hyperlink r:id="rId16" w:history="1">
        <w:r>
          <w:rPr>
            <w:rStyle w:val="a5"/>
            <w:color w:val="auto"/>
            <w:u w:val="none"/>
          </w:rPr>
          <w:t>http://geant4.cern.ch/</w:t>
        </w:r>
      </w:hyperlink>
      <w:r>
        <w:t xml:space="preserve">). The GEANT4 code can simulate a large set of particles, covering a wide energy range from 100 eV to 10 TeV or, for some particles, 10 </w:t>
      </w:r>
      <w:proofErr w:type="spellStart"/>
      <w:r>
        <w:t>PeV</w:t>
      </w:r>
      <w:proofErr w:type="spellEnd"/>
      <w:r>
        <w:t xml:space="preserve"> </w:t>
      </w:r>
      <w:r>
        <w:fldChar w:fldCharType="begin">
          <w:fldData xml:space="preserve">PEVuZE5vdGU+PENpdGU+PEF1dGhvcj5BbGxpc29uPC9BdXRob3I+PFllYXI+MjAxNjwvWWVhcj48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=
</w:fldData>
        </w:fldChar>
      </w:r>
      <w:r>
        <w:instrText xml:space="preserve"> ADDIN EN.CITE </w:instrText>
      </w:r>
      <w:r>
        <w:fldChar w:fldCharType="begin">
          <w:fldData xml:space="preserve">PEVuZE5vdGU+PENpdGU+PEF1dGhvcj5BbGxpc29uPC9BdXRob3I+PFllYXI+MjAxNjwvWWVhcj48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=
</w:fldData>
        </w:fldChar>
      </w:r>
      <w:r>
        <w:instrText xml:space="preserve"> ADDIN EN.CITE.DATA </w:instrText>
      </w:r>
      <w:r>
        <w:fldChar w:fldCharType="end"/>
      </w:r>
      <w:r>
        <w:fldChar w:fldCharType="separate"/>
      </w:r>
      <w:r>
        <w:rPr>
          <w:noProof/>
        </w:rPr>
        <w:t>(Allison et al., 2016)</w:t>
      </w:r>
      <w:r>
        <w:fldChar w:fldCharType="end"/>
      </w:r>
      <w:r>
        <w:t>. It is widely used in various applications including radiation dosimetry, medical application, space science and accelerator physics.</w:t>
      </w:r>
    </w:p>
    <w:p w14:paraId="7B8F8716" w14:textId="77777777" w:rsidR="00E72CA9" w:rsidRDefault="00D516E3">
      <w:pPr>
        <w:pStyle w:val="Annalstext"/>
        <w:numPr>
          <w:ilvl w:val="0"/>
          <w:numId w:val="1"/>
        </w:numPr>
        <w:tabs>
          <w:tab w:val="clear" w:pos="644"/>
        </w:tabs>
        <w:ind w:left="0"/>
      </w:pPr>
      <w:r>
        <w:t xml:space="preserve">GEANT4 Version 10.7 (patch 03) was used in the calculations of the dose coefficients for the paediatric reference voxel phantoms. These were implemented in the GEANT4 code by using the G4VNestedParameterisation class, which has shown the best performance in computation speed and memory usage against other GEANT4 classes for implementation of voxel geometry </w:t>
      </w:r>
      <w:r>
        <w:fldChar w:fldCharType="begin"/>
      </w:r>
      <w:r>
        <w:instrText xml:space="preserve"> ADDIN EN.CITE &lt;EndNote&gt;&lt;Cite&gt;&lt;Author&gt;Schümann&lt;/Author&gt;&lt;Year&gt;2012&lt;/Year&gt;&lt;RecNum&gt;10497&lt;/RecNum&gt;&lt;DisplayText&gt;(Schümann et al., 2012)&lt;/DisplayText&gt;&lt;record&gt;&lt;rec-number&gt;10497&lt;/rec-number&gt;&lt;foreign-keys&gt;&lt;key app="EN" db-id="rss5s0wzrpx9pwe5a0h5a9wkx9sf2zexde9d" timestamp="1504619919"&gt;10497&lt;/key&gt;&lt;/foreign-keys&gt;&lt;ref-type name="Journal Article"&gt;17&lt;/ref-type&gt;&lt;contributors&gt;&lt;authors&gt;&lt;author&gt;Schümann, J.&lt;/author&gt;&lt;author&gt;Paganetti, H.&lt;/author&gt;&lt;author&gt;Shin, J.&lt;/author&gt;&lt;author&gt;Faddegon, B.&lt;/author&gt;&lt;author&gt;Perl, J.&lt;/author&gt;&lt;/authors&gt;&lt;/contributors&gt;&lt;titles&gt;&lt;title&gt;Efficient voxel navigation for proton therapy dose calculation in TOPAS and Geant4&lt;/title&gt;&lt;secondary-title&gt;Physics in Medicine and Biology&lt;/secondary-title&gt;&lt;/titles&gt;&lt;pages&gt;3281-3293&lt;/pages&gt;&lt;volume&gt;57&lt;/volume&gt;&lt;number&gt;11&lt;/number&gt;&lt;dates&gt;&lt;year&gt;2012&lt;/year&gt;&lt;pub-dates&gt;&lt;date&gt;05/09&lt;/date&gt;&lt;/pub-dates&gt;&lt;/dates&gt;&lt;isbn&gt;0031-9155&amp;#xD;1361-6560&lt;/isbn&gt;&lt;accession-num&gt;PMC3367506&lt;/accession-num&gt;&lt;urls&gt;&lt;related-urls&gt;&lt;url&gt;http://www.ncbi.nlm.nih.gov/pmc/articles/PMC3367506/&lt;/url&gt;&lt;/related-urls&gt;&lt;/urls&gt;&lt;electronic-resource-num&gt;10.1088/0031-9155/57/11/3281&lt;/electronic-resource-num&gt;&lt;remote-database-name&gt;PMC&lt;/remote-database-name&gt;&lt;/record&gt;&lt;/Cite&gt;&lt;/EndNote&gt;</w:instrText>
      </w:r>
      <w:r>
        <w:fldChar w:fldCharType="separate"/>
      </w:r>
      <w:r>
        <w:rPr>
          <w:noProof/>
        </w:rPr>
        <w:t>(Schümann et al., 2012)</w:t>
      </w:r>
      <w:r>
        <w:fldChar w:fldCharType="end"/>
      </w:r>
      <w:r>
        <w:t xml:space="preserve">. The physics library of the G4EmLivermorePhysics, including EPDL97 </w:t>
      </w:r>
      <w:r>
        <w:fldChar w:fldCharType="begin"/>
      </w:r>
      <w:r>
        <w:instrText xml:space="preserve"> ADDIN EN.CITE &lt;EndNote&gt;&lt;Cite&gt;&lt;Author&gt;Cullen&lt;/Author&gt;&lt;Year&gt;1997&lt;/Year&gt;&lt;RecNum&gt;10498&lt;/RecNum&gt;&lt;DisplayText&gt;(Cullen et al., 1997a)&lt;/DisplayText&gt;&lt;record&gt;&lt;rec-number&gt;10498&lt;/rec-number&gt;&lt;foreign-keys&gt;&lt;key app="EN" db-id="rss5s0wzrpx9pwe5a0h5a9wkx9sf2zexde9d" timestamp="1504620051"&gt;10498&lt;/key&gt;&lt;/foreign-keys&gt;&lt;ref-type name="Book"&gt;6&lt;/ref-type&gt;&lt;contributors&gt;&lt;authors&gt;&lt;author&gt;Cullen, Dermott&lt;/author&gt;&lt;author&gt;H. Hubbell, J.&lt;/author&gt;&lt;author&gt;Kissel, L.&lt;/author&gt;&lt;/authors&gt;&lt;/contributors&gt;&lt;titles&gt;&lt;title&gt;EPDL97: the evaluated photo data library `97 version&lt;/title&gt;&lt;/titles&gt;&lt;dates&gt;&lt;year&gt;1997&lt;/year&gt;&lt;/dates&gt;&lt;urls&gt;&lt;/urls&gt;&lt;electronic-resource-num&gt;10.2172/295438&lt;/electronic-resource-num&gt;&lt;/record&gt;&lt;/Cite&gt;&lt;/EndNote&gt;</w:instrText>
      </w:r>
      <w:r>
        <w:fldChar w:fldCharType="separate"/>
      </w:r>
      <w:r>
        <w:rPr>
          <w:noProof/>
        </w:rPr>
        <w:t>(Cullen et al., 1997a)</w:t>
      </w:r>
      <w:r>
        <w:fldChar w:fldCharType="end"/>
      </w:r>
      <w:r>
        <w:t xml:space="preserve">, EEDL </w:t>
      </w:r>
      <w:r>
        <w:fldChar w:fldCharType="begin"/>
      </w:r>
      <w:r>
        <w:instrText xml:space="preserve"> ADDIN EN.CITE &lt;EndNote&gt;&lt;Cite&gt;&lt;Author&gt;Perkins&lt;/Author&gt;&lt;Year&gt;1991&lt;/Year&gt;&lt;RecNum&gt;10499&lt;/RecNum&gt;&lt;DisplayText&gt;(Perkins et al., 1991)&lt;/DisplayText&gt;&lt;record&gt;&lt;rec-number&gt;10499&lt;/rec-number&gt;&lt;foreign-keys&gt;&lt;key app="EN" db-id="rss5s0wzrpx9pwe5a0h5a9wkx9sf2zexde9d" timestamp="1504620121"&gt;10499&lt;/key&gt;&lt;/foreign-keys&gt;&lt;ref-type name="Book"&gt;6&lt;/ref-type&gt;&lt;contributors&gt;&lt;authors&gt;&lt;author&gt;Perkins, S.T.&lt;/author&gt;&lt;author&gt;Cullen, Dermott&lt;/author&gt;&lt;author&gt;M. Seltzer, S.&lt;/author&gt;&lt;/authors&gt;&lt;/contributors&gt;&lt;titles&gt;&lt;title&gt;Tables and graphs of electron-interaction cross sections from 10 eV to 100 GeV derived from the LLNL Evaluated Electron Data Library (EEDL), Z = 1 to 100&lt;/title&gt;&lt;/titles&gt;&lt;volume&gt;-1&lt;/volume&gt;&lt;dates&gt;&lt;year&gt;1991&lt;/year&gt;&lt;/dates&gt;&lt;urls&gt;&lt;/urls&gt;&lt;electronic-resource-num&gt;10.2172/5691165&lt;/electronic-resource-num&gt;&lt;/record&gt;&lt;/Cite&gt;&lt;/EndNote&gt;</w:instrText>
      </w:r>
      <w:r>
        <w:fldChar w:fldCharType="separate"/>
      </w:r>
      <w:r>
        <w:rPr>
          <w:noProof/>
        </w:rPr>
        <w:t>(Perkins et al., 1991)</w:t>
      </w:r>
      <w:r>
        <w:fldChar w:fldCharType="end"/>
      </w:r>
      <w:r>
        <w:t xml:space="preserve"> and EADL (Perkins et al., 1997), was used to simulate photons and secondary electrons. To secure precision of simulation, a secondary production cut range of 1 μ</w:t>
      </w:r>
      <w:r>
        <w:rPr>
          <w:lang w:val="sv-SE"/>
        </w:rPr>
        <w:t xml:space="preserve">m was applied for </w:t>
      </w:r>
      <w:r>
        <w:t xml:space="preserve">all particles in every medium. </w:t>
      </w:r>
    </w:p>
    <w:p w14:paraId="4C3E44C3" w14:textId="77777777" w:rsidR="00E72CA9" w:rsidRDefault="00D516E3">
      <w:pPr>
        <w:pStyle w:val="ICRPnumberedparagraph"/>
        <w:ind w:left="0"/>
        <w:rPr>
          <w:snapToGrid w:val="0"/>
          <w:szCs w:val="20"/>
          <w:lang w:eastAsia="sv-SE"/>
        </w:rPr>
      </w:pPr>
      <w:r>
        <w:rPr>
          <w:snapToGrid w:val="0"/>
          <w:szCs w:val="20"/>
          <w:lang w:eastAsia="sv-SE"/>
        </w:rPr>
        <w:t xml:space="preserve">Organ absorbed dose coefficients for monoenergetic photons were calculated for each projection and phantom, in 1 keV energy bins across the range of 1 to 80 keV for the newborn, to 90 keV for the 1-year-old, to 100 keV for the 5-year-old, to 110 keV for the 10-year-old and to120 keV for the 15-year-old, depending on the examination and phantom, i.e. age represented. Absorbed doses to all organs for which tissue weighting factors are assigned (ICRP, 2007) were calculated using the G4PSEnergyDeposit class, except for the skeletal tissues (red bone marrow and endosteum), and the lens of the eye. </w:t>
      </w:r>
    </w:p>
    <w:p w14:paraId="0BE0CABA" w14:textId="77777777" w:rsidR="00E72CA9" w:rsidRDefault="00D516E3">
      <w:pPr>
        <w:pStyle w:val="ICRPnumberedparagraph"/>
        <w:ind w:left="0"/>
        <w:rPr>
          <w:snapToGrid w:val="0"/>
          <w:szCs w:val="20"/>
          <w:lang w:eastAsia="sv-SE"/>
        </w:rPr>
      </w:pPr>
      <w:r>
        <w:rPr>
          <w:snapToGrid w:val="0"/>
          <w:szCs w:val="20"/>
          <w:lang w:eastAsia="sv-SE"/>
        </w:rPr>
        <w:t xml:space="preserve">The absorbed doses to the skeletal tissues were calculated following the skeletal dosimetry method based on the paediatric DRF, as described in Annex C of the present </w:t>
      </w:r>
      <w:r>
        <w:rPr>
          <w:snapToGrid w:val="0"/>
          <w:szCs w:val="20"/>
          <w:lang w:eastAsia="sv-SE"/>
        </w:rPr>
        <w:lastRenderedPageBreak/>
        <w:t xml:space="preserve">publication. For these calculations, the scoring class derived from the G4VPrimitiveScorer class was used to convert the photon fluence values in the regions of the spongiosa or medullary cavity at a given photon energy to the corresponding skeletal doses via a log-log interpolation of the DRF values </w:t>
      </w:r>
      <w:r>
        <w:rPr>
          <w:snapToGrid w:val="0"/>
          <w:szCs w:val="20"/>
          <w:lang w:eastAsia="sv-SE"/>
        </w:rPr>
        <w:fldChar w:fldCharType="begin"/>
      </w:r>
      <w:r>
        <w:rPr>
          <w:snapToGrid w:val="0"/>
          <w:szCs w:val="20"/>
          <w:lang w:eastAsia="sv-SE"/>
        </w:rPr>
        <w:instrText xml:space="preserve"> ADDIN EN.CITE &lt;EndNote&gt;&lt;Cite&gt;&lt;Author&gt;Yeom&lt;/Author&gt;&lt;Year&gt;2016&lt;/Year&gt;&lt;RecNum&gt;10648&lt;/RecNum&gt;&lt;DisplayText&gt;(Yeom et al., 2016)&lt;/DisplayText&gt;&lt;record&gt;&lt;rec-number&gt;10648&lt;/rec-number&gt;&lt;foreign-keys&gt;&lt;key app="EN" db-id="rss5s0wzrpx9pwe5a0h5a9wkx9sf2zexde9d" timestamp="1524049794"&gt;10648&lt;/key&gt;&lt;/foreign-keys&gt;&lt;ref-type name="Journal Article"&gt;17&lt;/ref-type&gt;&lt;contributors&gt;&lt;authors&gt;&lt;author&gt;Yeom, Yeon Soo&lt;/author&gt;&lt;author&gt;Wang, Zhao Jun&lt;/author&gt;&lt;author&gt;Nguyen, Thang Tat&lt;/author&gt;&lt;author&gt;Kim, Han Sung&lt;/author&gt;&lt;author&gt;Choi, Chansoo&lt;/author&gt;&lt;author&gt;Han, Min Cheol&lt;/author&gt;&lt;author&gt;Kim, Chan Hyeong&lt;/author&gt;&lt;author&gt;Lee, Jai Ki&lt;/author&gt;&lt;author&gt;Chung, Beom Sun&lt;/author&gt;&lt;author&gt;Zankl, Maria&lt;/author&gt;&lt;author&gt;Petoussi-Henss, Nina&lt;/author&gt;&lt;author&gt;Bolch, Wesley E.&lt;/author&gt;&lt;author&gt;Lee, Choonsik&lt;/author&gt;&lt;/authors&gt;&lt;/contributors&gt;&lt;titles&gt;&lt;title&gt;Development of skeletal system for mesh-type ICRP reference adult phantoms&lt;/title&gt;&lt;secondary-title&gt;Physics in Medicine &amp;amp; Biology&lt;/secondary-title&gt;&lt;/titles&gt;&lt;periodical&gt;&lt;full-title&gt;Physics in Medicine and Biology&lt;/full-title&gt;&lt;abbr-1&gt;Phys. Med. Biol.&lt;/abbr-1&gt;&lt;abbr-2&gt;Phys Med Biol&lt;/abbr-2&gt;&lt;abbr-3&gt;Physics in Medicine &amp;amp; Biology&lt;/abbr-3&gt;&lt;/periodical&gt;&lt;pages&gt;7054–7073&lt;/pages&gt;&lt;volume&gt;61&lt;/volume&gt;&lt;number&gt;19&lt;/number&gt;&lt;keywords&gt;&lt;keyword&gt;ICRP reference phantom&lt;/keyword&gt;&lt;keyword&gt;skeleton&lt;/keyword&gt;&lt;keyword&gt;voxel phantom&lt;/keyword&gt;&lt;keyword&gt;mesh phantom&lt;/keyword&gt;&lt;keyword&gt;Monte Carlo&lt;/keyword&gt;&lt;keyword&gt;dose coefficient&lt;/keyword&gt;&lt;/keywords&gt;&lt;dates&gt;&lt;year&gt;2016&lt;/year&gt;&lt;/dates&gt;&lt;urls&gt;&lt;related-urls&gt;&lt;url&gt;http://stacks.iop.org/0031-9155/61/i=19/a=7054&lt;/url&gt;&lt;/related-urls&gt;&lt;/urls&gt;&lt;/record&gt;&lt;/Cite&gt;&lt;/EndNote&gt;</w:instrText>
      </w:r>
      <w:r>
        <w:rPr>
          <w:snapToGrid w:val="0"/>
          <w:szCs w:val="20"/>
          <w:lang w:eastAsia="sv-SE"/>
        </w:rPr>
        <w:fldChar w:fldCharType="separate"/>
      </w:r>
      <w:r>
        <w:rPr>
          <w:noProof/>
          <w:snapToGrid w:val="0"/>
          <w:szCs w:val="20"/>
          <w:lang w:eastAsia="sv-SE"/>
        </w:rPr>
        <w:t>(Yeom et al., 2016)</w:t>
      </w:r>
      <w:r>
        <w:rPr>
          <w:snapToGrid w:val="0"/>
          <w:szCs w:val="20"/>
          <w:lang w:eastAsia="sv-SE"/>
        </w:rPr>
        <w:fldChar w:fldCharType="end"/>
      </w:r>
      <w:r>
        <w:rPr>
          <w:snapToGrid w:val="0"/>
          <w:szCs w:val="20"/>
          <w:lang w:eastAsia="sv-SE"/>
        </w:rPr>
        <w:t>. 10</w:t>
      </w:r>
      <w:r>
        <w:rPr>
          <w:snapToGrid w:val="0"/>
          <w:szCs w:val="20"/>
          <w:vertAlign w:val="superscript"/>
          <w:lang w:eastAsia="sv-SE"/>
        </w:rPr>
        <w:t>8</w:t>
      </w:r>
      <w:r>
        <w:rPr>
          <w:snapToGrid w:val="0"/>
          <w:szCs w:val="20"/>
          <w:lang w:eastAsia="sv-SE"/>
        </w:rPr>
        <w:t xml:space="preserve"> primary photons were transported so that relative errors of the calculated organ absorbed doses were below 5% for the organs within the beam fields, while relatively large errors, even above 20% could occur, for organs outside the beam fields, particularly small ones. </w:t>
      </w:r>
    </w:p>
    <w:p w14:paraId="49CE0BE6" w14:textId="77777777" w:rsidR="00E72CA9" w:rsidRDefault="00D516E3">
      <w:pPr>
        <w:pStyle w:val="Annalstext"/>
        <w:numPr>
          <w:ilvl w:val="0"/>
          <w:numId w:val="1"/>
        </w:numPr>
        <w:ind w:left="0"/>
      </w:pPr>
      <w:r>
        <w:t xml:space="preserve">Fig. 4.2 shows as examples the absorbed dose per fluence at 1 m from the source plotted against energy for red bone marrow, colon, stomach and lungs for scoliosis right lateral projection </w:t>
      </w:r>
      <w:r>
        <w:rPr>
          <w:color w:val="000000" w:themeColor="text1"/>
        </w:rPr>
        <w:t xml:space="preserve">and male paediatric reference </w:t>
      </w:r>
      <w:r>
        <w:t>phantoms.</w:t>
      </w:r>
    </w:p>
    <w:p w14:paraId="00AB5797" w14:textId="77777777" w:rsidR="00E72CA9" w:rsidRDefault="00D516E3">
      <w:pPr>
        <w:spacing w:before="100" w:beforeAutospacing="1" w:after="100" w:afterAutospacing="1"/>
        <w:rPr>
          <w:rFonts w:eastAsia="Times New Roman"/>
          <w:szCs w:val="24"/>
          <w:lang w:eastAsia="ja-JP"/>
        </w:rPr>
      </w:pPr>
      <w:r>
        <w:rPr>
          <w:rFonts w:eastAsia="Times New Roman"/>
          <w:noProof/>
          <w:szCs w:val="24"/>
          <w:lang w:eastAsia="ja-JP"/>
        </w:rPr>
        <w:drawing>
          <wp:inline distT="0" distB="0" distL="0" distR="0" wp14:anchorId="1FE1AD61" wp14:editId="2FC51737">
            <wp:extent cx="5730404" cy="2892612"/>
            <wp:effectExtent l="0" t="0" r="3810" b="3175"/>
            <wp:docPr id="3215715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4078" b="6180"/>
                    <a:stretch/>
                  </pic:blipFill>
                  <pic:spPr bwMode="auto">
                    <a:xfrm>
                      <a:off x="0" y="0"/>
                      <a:ext cx="5731510" cy="2893171"/>
                    </a:xfrm>
                    <a:prstGeom prst="rect">
                      <a:avLst/>
                    </a:prstGeom>
                    <a:noFill/>
                    <a:ln>
                      <a:noFill/>
                    </a:ln>
                    <a:extLst>
                      <a:ext uri="{53640926-AAD7-44D8-BBD7-CCE9431645EC}">
                        <a14:shadowObscured xmlns:a14="http://schemas.microsoft.com/office/drawing/2010/main"/>
                      </a:ext>
                    </a:extLst>
                  </pic:spPr>
                </pic:pic>
              </a:graphicData>
            </a:graphic>
          </wp:inline>
        </w:drawing>
      </w:r>
    </w:p>
    <w:p w14:paraId="484BF7F3" w14:textId="77777777" w:rsidR="00E72CA9" w:rsidRDefault="00D516E3">
      <w:pPr>
        <w:pStyle w:val="Annalstext"/>
        <w:tabs>
          <w:tab w:val="clear" w:pos="502"/>
        </w:tabs>
        <w:ind w:left="0" w:firstLine="0"/>
      </w:pPr>
      <w:r>
        <w:t xml:space="preserve">Fig. 4.2. </w:t>
      </w:r>
      <w:r>
        <w:rPr>
          <w:color w:val="000000" w:themeColor="text1"/>
        </w:rPr>
        <w:t xml:space="preserve">Left: </w:t>
      </w:r>
      <w:r>
        <w:rPr>
          <w:color w:val="000000"/>
        </w:rPr>
        <w:t xml:space="preserve">Absorbed dose per fluence </w:t>
      </w:r>
      <w:r>
        <w:rPr>
          <w:color w:val="000000" w:themeColor="text1"/>
        </w:rPr>
        <w:t xml:space="preserve">at 1 m from the source, for red bone marrow, colon, stomach and lungs, as a function of photon energy for scoliosis right lateral projection and male paediatric reference phantoms. Right: schematic representation of the irradiation fields showing anatomical landmarks </w:t>
      </w:r>
      <w:r>
        <w:t>on the 1- and 15-year old male phantoms.</w:t>
      </w:r>
    </w:p>
    <w:p w14:paraId="2573F2AE" w14:textId="77777777" w:rsidR="00E72CA9" w:rsidRDefault="00D516E3">
      <w:pPr>
        <w:pStyle w:val="3"/>
      </w:pPr>
      <w:bookmarkStart w:id="82" w:name="_Toc137822931"/>
      <w:r>
        <w:t>GEANT4 code</w:t>
      </w:r>
      <w:bookmarkEnd w:id="82"/>
      <w:r>
        <w:t xml:space="preserve"> used for spot checks</w:t>
      </w:r>
    </w:p>
    <w:p w14:paraId="6C31D480" w14:textId="77777777" w:rsidR="00E72CA9" w:rsidRDefault="00D516E3">
      <w:pPr>
        <w:pStyle w:val="ICRPnumberedparagraph"/>
        <w:tabs>
          <w:tab w:val="clear" w:pos="2062"/>
        </w:tabs>
        <w:ind w:left="-142"/>
      </w:pPr>
      <w:r>
        <w:t>Spot checks on o</w:t>
      </w:r>
      <w:r>
        <w:rPr>
          <w:rFonts w:hint="eastAsia"/>
        </w:rPr>
        <w:t>r</w:t>
      </w:r>
      <w:r>
        <w:t>gan absorbed dose coefficients for the paediatric reference phantoms and some selected projections were calculated at the Department of Engineering Physics, Tsinghua University, China, using a code developed specifically for phantom dose calculations employing the GEANT4 toolkit Ve</w:t>
      </w:r>
      <w:r>
        <w:rPr>
          <w:rFonts w:hint="eastAsia"/>
          <w:lang w:eastAsia="zh-CN"/>
        </w:rPr>
        <w:t>r</w:t>
      </w:r>
      <w:r>
        <w:t xml:space="preserve">sion 10.4 (http://geant4.cern.ch/).  </w:t>
      </w:r>
    </w:p>
    <w:p w14:paraId="4EB223CA" w14:textId="77777777" w:rsidR="00E72CA9" w:rsidRDefault="00D516E3">
      <w:pPr>
        <w:pStyle w:val="ICRPnumberedparagraph"/>
        <w:tabs>
          <w:tab w:val="clear" w:pos="2062"/>
        </w:tabs>
        <w:ind w:left="-142"/>
      </w:pPr>
      <w:r>
        <w:t xml:space="preserve">The physics library of G4EmStandardPhysics_option3 was used to simulate the transport of photons and secondary electrons </w:t>
      </w:r>
      <w:r>
        <w:rPr>
          <w:snapToGrid w:val="0"/>
          <w:szCs w:val="20"/>
          <w:lang w:eastAsia="sv-SE"/>
        </w:rPr>
        <w:t>through paediatric reference phantoms</w:t>
      </w:r>
      <w:r>
        <w:t xml:space="preserve">. To balance calculation accuracy and computational efficiency, </w:t>
      </w:r>
      <w:r>
        <w:rPr>
          <w:rFonts w:hint="eastAsia"/>
          <w:lang w:eastAsia="zh-CN"/>
        </w:rPr>
        <w:t>a</w:t>
      </w:r>
      <w:r>
        <w:t xml:space="preserve"> secondary production cut-range of 0.1 m</w:t>
      </w:r>
      <w:r>
        <w:rPr>
          <w:lang w:val="sv-SE"/>
        </w:rPr>
        <w:t xml:space="preserve">m </w:t>
      </w:r>
      <w:r>
        <w:rPr>
          <w:rFonts w:hint="eastAsia"/>
          <w:lang w:val="sv-SE" w:eastAsia="zh-CN"/>
        </w:rPr>
        <w:t>was</w:t>
      </w:r>
      <w:r>
        <w:rPr>
          <w:lang w:val="sv-SE"/>
        </w:rPr>
        <w:t xml:space="preserve"> </w:t>
      </w:r>
      <w:r>
        <w:rPr>
          <w:rFonts w:hint="eastAsia"/>
          <w:lang w:val="sv-SE" w:eastAsia="zh-CN"/>
        </w:rPr>
        <w:t>use</w:t>
      </w:r>
      <w:r>
        <w:rPr>
          <w:lang w:val="sv-SE"/>
        </w:rPr>
        <w:t xml:space="preserve">d for </w:t>
      </w:r>
      <w:r>
        <w:t xml:space="preserve">all particles in every medium. </w:t>
      </w:r>
    </w:p>
    <w:p w14:paraId="2313EECD" w14:textId="77777777" w:rsidR="00E72CA9" w:rsidRDefault="00D516E3">
      <w:pPr>
        <w:pStyle w:val="ICRPnumberedparagraph"/>
        <w:tabs>
          <w:tab w:val="clear" w:pos="2062"/>
        </w:tabs>
        <w:ind w:left="-142"/>
      </w:pPr>
      <w:r>
        <w:t>For the spot checks, organ absorbed dose coefficients for monoenergetic photons were calculated for each projection and phantom, with 5 keV energy bins across the range from 1 to 80 keV (for the newborn), 1 to 90 keV (1-year-old), 1 to 100 keV (5-year-old), 1 to 110 keV (10-year-old) and 1 to 120 keV (15-year-old), respectively. In each case 10</w:t>
      </w:r>
      <w:r>
        <w:rPr>
          <w:vertAlign w:val="superscript"/>
        </w:rPr>
        <w:t>8</w:t>
      </w:r>
      <w:r>
        <w:t xml:space="preserve"> histories were calculated. Relative statistical uncertainties for organs inside the exposure field were less than 5%. However, for organs outside the exposure field, especially small organs, the relative statistical uncertainties were about 20%.</w:t>
      </w:r>
    </w:p>
    <w:p w14:paraId="4EBCEFF6" w14:textId="77777777" w:rsidR="00E72CA9" w:rsidRDefault="00D516E3">
      <w:pPr>
        <w:pStyle w:val="ICRPnumberedparagraph"/>
        <w:tabs>
          <w:tab w:val="clear" w:pos="2062"/>
        </w:tabs>
        <w:ind w:left="-142"/>
      </w:pPr>
      <w:r>
        <w:lastRenderedPageBreak/>
        <w:t xml:space="preserve">Absorbed doses to all organs, except skeletal tissues, were calculated by counting the energy deposition directly using the </w:t>
      </w:r>
      <w:proofErr w:type="spellStart"/>
      <w:r>
        <w:t>GetTotalEnergyDeposit</w:t>
      </w:r>
      <w:proofErr w:type="spellEnd"/>
      <w:r>
        <w:t xml:space="preserve"> function of the of G4Step class (see http://geant4.cern.ch/). For the calculations of the averaged absorbed doses for red bon</w:t>
      </w:r>
      <w:r>
        <w:rPr>
          <w:lang w:eastAsia="zh-CN"/>
        </w:rPr>
        <w:t>e</w:t>
      </w:r>
      <w:r>
        <w:t xml:space="preserve"> marrow and endosteum, the skeletal dosimetry method based on the DRF described in Annex C of the present Publication was applied. The track length in a unit volume was used to obtain the photon fluence which was then converted to the corresponding skeletal doses via interpolation of the DRF values for a given photon energy. </w:t>
      </w:r>
    </w:p>
    <w:p w14:paraId="414E80C4" w14:textId="77777777" w:rsidR="00E72CA9" w:rsidRDefault="00E72CA9">
      <w:pPr>
        <w:rPr>
          <w:lang w:eastAsia="ja-JP"/>
        </w:rPr>
      </w:pPr>
    </w:p>
    <w:p w14:paraId="7BAEB538" w14:textId="77777777" w:rsidR="00E72CA9" w:rsidRDefault="00D516E3">
      <w:pPr>
        <w:pStyle w:val="3"/>
      </w:pPr>
      <w:r>
        <w:t>Quality Assurance of data</w:t>
      </w:r>
    </w:p>
    <w:p w14:paraId="786B1343" w14:textId="77777777" w:rsidR="00E72CA9" w:rsidRDefault="00D516E3">
      <w:pPr>
        <w:pStyle w:val="ICRPnumberedparagraph"/>
        <w:ind w:left="0"/>
      </w:pPr>
      <w:r>
        <w:t>For verification of the calculations, a number of spot check calculations were performed by different calculators. In the spot checks, Monte Carlo simulations were performed in different centres using a range of projections and including all the phantoms to derive selected monoenergetic coefficients. The same input parameters were used to characterise the radiation fields, but different Monte Carlo codes were employed. In addition, in some cases the same Monte Carlo code was used by at least two different centres to check that dosimetric methods such as phantom definition and skeletal dosimetry were correctly implemented. The spot checks demonstrated very good agreement between centres, as exemplified in Figs. 4.3 to 4.5. Fig. 4.3 compares the dose coefficients at 100 keV obtained in two different centres for a pelvis anterior-posterior examination simulated with both EGSnrc and GEANT4 using the adult female phantom. The comparison is between the data provided in this publication (primary) and that performed by a spot check. Fig. 4.4 shows a similar comparison for a chest anterior-posterior examination simulated with GEANT4 at 50 keV using the male newborn phantom. Fig. 4.5 shows the absorbed dose to the urinary bladder (left) and thyroid (right) as a function of photon energy, for a lumbar spine left lateral examination simulated with GEANT4 using the 10- year-old female phantom. As can be seen from Figs. 4.3 to 4.5 there is a very good agreement between primary and spot check data.</w:t>
      </w:r>
    </w:p>
    <w:p w14:paraId="3ECEDD29" w14:textId="77777777" w:rsidR="00E72CA9" w:rsidRDefault="00E72CA9">
      <w:pPr>
        <w:pStyle w:val="ICRPnumberedparagraph"/>
        <w:numPr>
          <w:ilvl w:val="0"/>
          <w:numId w:val="0"/>
        </w:numPr>
        <w:ind w:left="142"/>
      </w:pPr>
    </w:p>
    <w:p w14:paraId="2107566C" w14:textId="77777777" w:rsidR="00E72CA9" w:rsidRDefault="00D516E3">
      <w:pPr>
        <w:pStyle w:val="ICRPnumberedparagraph"/>
        <w:numPr>
          <w:ilvl w:val="0"/>
          <w:numId w:val="0"/>
        </w:numPr>
        <w:jc w:val="center"/>
      </w:pPr>
      <w:r>
        <w:rPr>
          <w:noProof/>
        </w:rPr>
        <w:lastRenderedPageBreak/>
        <w:drawing>
          <wp:inline distT="0" distB="0" distL="0" distR="0" wp14:anchorId="37185C91" wp14:editId="3CA3FA5F">
            <wp:extent cx="5481955" cy="3816000"/>
            <wp:effectExtent l="0" t="0" r="444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t="231" b="1605"/>
                    <a:stretch/>
                  </pic:blipFill>
                  <pic:spPr bwMode="auto">
                    <a:xfrm>
                      <a:off x="0" y="0"/>
                      <a:ext cx="5481955" cy="3816000"/>
                    </a:xfrm>
                    <a:prstGeom prst="rect">
                      <a:avLst/>
                    </a:prstGeom>
                    <a:noFill/>
                    <a:ln>
                      <a:noFill/>
                    </a:ln>
                    <a:extLst>
                      <a:ext uri="{53640926-AAD7-44D8-BBD7-CCE9431645EC}">
                        <a14:shadowObscured xmlns:a14="http://schemas.microsoft.com/office/drawing/2010/main"/>
                      </a:ext>
                    </a:extLst>
                  </pic:spPr>
                </pic:pic>
              </a:graphicData>
            </a:graphic>
          </wp:inline>
        </w:drawing>
      </w:r>
    </w:p>
    <w:p w14:paraId="318B2F9F" w14:textId="77777777" w:rsidR="00E72CA9" w:rsidRDefault="00D516E3">
      <w:pPr>
        <w:pStyle w:val="Annalstext"/>
        <w:tabs>
          <w:tab w:val="clear" w:pos="502"/>
        </w:tabs>
        <w:ind w:left="0" w:firstLine="0"/>
        <w:rPr>
          <w:color w:val="000000" w:themeColor="text1"/>
          <w:sz w:val="22"/>
          <w:szCs w:val="22"/>
        </w:rPr>
      </w:pPr>
      <w:r>
        <w:rPr>
          <w:color w:val="000000" w:themeColor="text1"/>
          <w:sz w:val="22"/>
          <w:szCs w:val="22"/>
        </w:rPr>
        <w:t xml:space="preserve">Fig. 4.3. Organ absorbed dose coefficients for a pelvis anterior-posterior examination on the adult female reference phantom for 100 keV photons, as calculated with EGSnrc and GEANT4 codes. The red circles show the data of the primary calculations and the black crosses those of the spot checks (in most cases the two are superimposed). </w:t>
      </w:r>
    </w:p>
    <w:p w14:paraId="43AEBE0E" w14:textId="77777777" w:rsidR="00E72CA9" w:rsidRDefault="00E72CA9">
      <w:pPr>
        <w:pStyle w:val="Annalstext"/>
        <w:tabs>
          <w:tab w:val="clear" w:pos="502"/>
        </w:tabs>
        <w:ind w:left="0" w:firstLine="0"/>
        <w:rPr>
          <w:sz w:val="22"/>
          <w:szCs w:val="22"/>
        </w:rPr>
      </w:pPr>
    </w:p>
    <w:p w14:paraId="21BDEA04" w14:textId="77777777" w:rsidR="00E72CA9" w:rsidRDefault="00E72CA9">
      <w:pPr>
        <w:pStyle w:val="Annalstext"/>
        <w:tabs>
          <w:tab w:val="clear" w:pos="502"/>
        </w:tabs>
        <w:ind w:left="0" w:firstLine="0"/>
        <w:rPr>
          <w:sz w:val="22"/>
          <w:szCs w:val="22"/>
        </w:rPr>
      </w:pPr>
    </w:p>
    <w:p w14:paraId="0DC76782" w14:textId="77777777" w:rsidR="00E72CA9" w:rsidRDefault="00D516E3">
      <w:pPr>
        <w:pStyle w:val="Annalstext"/>
        <w:tabs>
          <w:tab w:val="clear" w:pos="502"/>
        </w:tabs>
        <w:ind w:left="0"/>
        <w:jc w:val="center"/>
      </w:pPr>
      <w:r>
        <w:rPr>
          <w:noProof/>
        </w:rPr>
        <w:lastRenderedPageBreak/>
        <w:drawing>
          <wp:inline distT="0" distB="0" distL="0" distR="0" wp14:anchorId="79C8E43A" wp14:editId="2AE87D7B">
            <wp:extent cx="5731510" cy="4047490"/>
            <wp:effectExtent l="0" t="0" r="0" b="0"/>
            <wp:docPr id="20" name="그림 2">
              <a:extLst xmlns:a="http://schemas.openxmlformats.org/drawingml/2006/main">
                <a:ext uri="{FF2B5EF4-FFF2-40B4-BE49-F238E27FC236}">
                  <a16:creationId xmlns:a16="http://schemas.microsoft.com/office/drawing/2014/main" id="{19DD93C6-159E-4730-A8BE-3A2B487D5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19DD93C6-159E-4730-A8BE-3A2B487D5B32}"/>
                        </a:ext>
                      </a:extLst>
                    </pic:cNvPr>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5731510" cy="4047490"/>
                    </a:xfrm>
                    <a:prstGeom prst="rect">
                      <a:avLst/>
                    </a:prstGeom>
                  </pic:spPr>
                </pic:pic>
              </a:graphicData>
            </a:graphic>
          </wp:inline>
        </w:drawing>
      </w:r>
    </w:p>
    <w:p w14:paraId="35DAA7B7" w14:textId="77777777" w:rsidR="00E72CA9" w:rsidRDefault="00D516E3">
      <w:pPr>
        <w:pStyle w:val="Annalstext"/>
        <w:tabs>
          <w:tab w:val="clear" w:pos="502"/>
        </w:tabs>
        <w:ind w:left="0" w:firstLine="0"/>
        <w:rPr>
          <w:sz w:val="22"/>
          <w:szCs w:val="22"/>
        </w:rPr>
      </w:pPr>
      <w:r>
        <w:rPr>
          <w:sz w:val="22"/>
          <w:szCs w:val="22"/>
        </w:rPr>
        <w:t xml:space="preserve">Fig. 4.4. Organ absorbed dose coefficients for a chest anterior-posterior examination on the newborn male reference phantom and 50 keV photons, calculated with the GEANT4 code by two different calculators. The red circles show the data of the primary calculations and the black crosses those of the spot checks </w:t>
      </w:r>
      <w:r>
        <w:rPr>
          <w:color w:val="000000" w:themeColor="text1"/>
          <w:sz w:val="22"/>
          <w:szCs w:val="22"/>
        </w:rPr>
        <w:t>(in most cases the two are superimposed).</w:t>
      </w:r>
      <w:r>
        <w:rPr>
          <w:sz w:val="22"/>
          <w:szCs w:val="22"/>
        </w:rPr>
        <w:t xml:space="preserve"> </w:t>
      </w:r>
    </w:p>
    <w:p w14:paraId="2060E7E1" w14:textId="77777777" w:rsidR="00E72CA9" w:rsidRDefault="00E72CA9">
      <w:pPr>
        <w:pStyle w:val="Annalstext"/>
        <w:tabs>
          <w:tab w:val="clear" w:pos="502"/>
        </w:tabs>
        <w:ind w:left="0" w:firstLine="0"/>
      </w:pPr>
    </w:p>
    <w:p w14:paraId="40AC78C2" w14:textId="77777777" w:rsidR="00E72CA9" w:rsidRDefault="00D516E3">
      <w:pPr>
        <w:pStyle w:val="Annalstext"/>
        <w:tabs>
          <w:tab w:val="clear" w:pos="502"/>
        </w:tabs>
        <w:ind w:left="0" w:firstLine="0"/>
      </w:pPr>
      <w:r>
        <w:t xml:space="preserve"> </w:t>
      </w:r>
    </w:p>
    <w:p w14:paraId="33A17209" w14:textId="77777777" w:rsidR="00E72CA9" w:rsidRDefault="00E72CA9">
      <w:pPr>
        <w:pStyle w:val="Annalstext"/>
        <w:tabs>
          <w:tab w:val="clear" w:pos="502"/>
        </w:tabs>
        <w:ind w:left="0" w:firstLine="0"/>
        <w:rPr>
          <w:lang w:val="en-US"/>
        </w:rPr>
      </w:pPr>
    </w:p>
    <w:p w14:paraId="53A088A7" w14:textId="77777777" w:rsidR="00E72CA9" w:rsidRDefault="00D516E3">
      <w:pPr>
        <w:pStyle w:val="Annalstext"/>
        <w:tabs>
          <w:tab w:val="clear" w:pos="502"/>
        </w:tabs>
        <w:ind w:left="0" w:firstLine="0"/>
      </w:pPr>
      <w:r>
        <w:rPr>
          <w:lang w:val="en-US"/>
        </w:rPr>
        <w:t xml:space="preserve"> </w:t>
      </w:r>
      <w:r>
        <w:rPr>
          <w:noProof/>
        </w:rPr>
        <w:drawing>
          <wp:inline distT="0" distB="0" distL="0" distR="0" wp14:anchorId="3422ADA1" wp14:editId="316BBA14">
            <wp:extent cx="2836800" cy="2044800"/>
            <wp:effectExtent l="0" t="0" r="1905" b="0"/>
            <wp:docPr id="22" name="그림 2">
              <a:extLst xmlns:a="http://schemas.openxmlformats.org/drawingml/2006/main">
                <a:ext uri="{FF2B5EF4-FFF2-40B4-BE49-F238E27FC236}">
                  <a16:creationId xmlns:a16="http://schemas.microsoft.com/office/drawing/2014/main" id="{A6BB1500-AC44-4446-824C-343DDF457D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A6BB1500-AC44-4446-824C-343DDF457DD0}"/>
                        </a:ext>
                      </a:extLst>
                    </pic:cNvPr>
                    <pic:cNvPicPr>
                      <a:picLocks noChangeAspect="1"/>
                    </pic:cNvPicPr>
                  </pic:nvPicPr>
                  <pic:blipFill rotWithShape="1">
                    <a:blip r:embed="rId20" cstate="email">
                      <a:extLst>
                        <a:ext uri="{28A0092B-C50C-407E-A947-70E740481C1C}">
                          <a14:useLocalDpi xmlns:a14="http://schemas.microsoft.com/office/drawing/2010/main"/>
                        </a:ext>
                      </a:extLst>
                    </a:blip>
                    <a:srcRect r="2029"/>
                    <a:stretch/>
                  </pic:blipFill>
                  <pic:spPr bwMode="auto">
                    <a:xfrm>
                      <a:off x="0" y="0"/>
                      <a:ext cx="2836800" cy="20448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CCE5AC6" wp14:editId="637D18AC">
            <wp:extent cx="2800800" cy="2023200"/>
            <wp:effectExtent l="0" t="0" r="0" b="0"/>
            <wp:docPr id="24" name="그림 6">
              <a:extLst xmlns:a="http://schemas.openxmlformats.org/drawingml/2006/main">
                <a:ext uri="{FF2B5EF4-FFF2-40B4-BE49-F238E27FC236}">
                  <a16:creationId xmlns:a16="http://schemas.microsoft.com/office/drawing/2014/main" id="{9F2D2F7A-B480-4B5B-A48D-C9144D7315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a:extLst>
                        <a:ext uri="{FF2B5EF4-FFF2-40B4-BE49-F238E27FC236}">
                          <a16:creationId xmlns:a16="http://schemas.microsoft.com/office/drawing/2014/main" id="{9F2D2F7A-B480-4B5B-A48D-C9144D73151B}"/>
                        </a:ext>
                      </a:extLst>
                    </pic:cNvPr>
                    <pic:cNvPicPr>
                      <a:picLocks noChangeAspect="1"/>
                    </pic:cNvPicPr>
                  </pic:nvPicPr>
                  <pic:blipFill rotWithShape="1">
                    <a:blip r:embed="rId21" cstate="email">
                      <a:extLst>
                        <a:ext uri="{28A0092B-C50C-407E-A947-70E740481C1C}">
                          <a14:useLocalDpi xmlns:a14="http://schemas.microsoft.com/office/drawing/2010/main"/>
                        </a:ext>
                      </a:extLst>
                    </a:blip>
                    <a:srcRect l="-1" r="2305"/>
                    <a:stretch/>
                  </pic:blipFill>
                  <pic:spPr bwMode="auto">
                    <a:xfrm>
                      <a:off x="0" y="0"/>
                      <a:ext cx="2800800" cy="2023200"/>
                    </a:xfrm>
                    <a:prstGeom prst="rect">
                      <a:avLst/>
                    </a:prstGeom>
                    <a:ln>
                      <a:noFill/>
                    </a:ln>
                    <a:extLst>
                      <a:ext uri="{53640926-AAD7-44D8-BBD7-CCE9431645EC}">
                        <a14:shadowObscured xmlns:a14="http://schemas.microsoft.com/office/drawing/2010/main"/>
                      </a:ext>
                    </a:extLst>
                  </pic:spPr>
                </pic:pic>
              </a:graphicData>
            </a:graphic>
          </wp:inline>
        </w:drawing>
      </w:r>
    </w:p>
    <w:p w14:paraId="50A75026" w14:textId="77777777" w:rsidR="00E72CA9" w:rsidRDefault="00D516E3">
      <w:pPr>
        <w:pStyle w:val="Annalstext"/>
        <w:tabs>
          <w:tab w:val="clear" w:pos="502"/>
        </w:tabs>
        <w:ind w:left="0" w:firstLine="0"/>
        <w:rPr>
          <w:sz w:val="22"/>
          <w:szCs w:val="22"/>
        </w:rPr>
      </w:pPr>
      <w:r>
        <w:rPr>
          <w:sz w:val="22"/>
          <w:szCs w:val="22"/>
        </w:rPr>
        <w:t>Fig. 4.5. Urinary bladder (left) and thyroid (right) absorbed dose coefficients for a lumbar spine left lateral examination on the 10-year-old female reference phantom as a function of photon energy, calculated with the GEANT4 code and EGSnrc by two different calculators. The red circles show the data of the primary calculations and the black crosses those of the spot checks. Note that the urinary bladder lies inside the beam whereas the thyroid lies outside.</w:t>
      </w:r>
    </w:p>
    <w:p w14:paraId="3DBAA7B5" w14:textId="77777777" w:rsidR="00E72CA9" w:rsidRDefault="00E72CA9">
      <w:pPr>
        <w:pStyle w:val="Annalstext"/>
        <w:tabs>
          <w:tab w:val="clear" w:pos="502"/>
        </w:tabs>
        <w:ind w:left="0" w:firstLine="0"/>
        <w:rPr>
          <w:sz w:val="22"/>
          <w:szCs w:val="22"/>
        </w:rPr>
      </w:pPr>
    </w:p>
    <w:p w14:paraId="3CC0A5CB" w14:textId="77777777" w:rsidR="00E72CA9" w:rsidRDefault="00D516E3">
      <w:pPr>
        <w:pStyle w:val="2"/>
      </w:pPr>
      <w:bookmarkStart w:id="83" w:name="_Toc111194104"/>
      <w:bookmarkStart w:id="84" w:name="_Toc158293335"/>
      <w:bookmarkStart w:id="85" w:name="_Toc158293657"/>
      <w:bookmarkStart w:id="86" w:name="_Toc165302043"/>
      <w:r>
        <w:lastRenderedPageBreak/>
        <w:t>Dose coefficients for monoenergetic photons at 1 keV intervals– Description of tables</w:t>
      </w:r>
      <w:bookmarkEnd w:id="83"/>
      <w:bookmarkEnd w:id="84"/>
      <w:bookmarkEnd w:id="85"/>
      <w:bookmarkEnd w:id="86"/>
    </w:p>
    <w:p w14:paraId="45A52AD2" w14:textId="77777777" w:rsidR="00E72CA9" w:rsidRDefault="00D516E3">
      <w:pPr>
        <w:pStyle w:val="Annalstext"/>
        <w:numPr>
          <w:ilvl w:val="0"/>
          <w:numId w:val="1"/>
        </w:numPr>
        <w:ind w:left="0"/>
      </w:pPr>
      <w:r>
        <w:t xml:space="preserve">Organ absorbed doses have been calculated for each projection and phantom, with Monte Carlo methods </w:t>
      </w:r>
      <w:bookmarkStart w:id="87" w:name="_Hlk136407493"/>
      <w:r>
        <w:t>in 1 keV energy bins across the range 1 or 3 to 80, 100, 120 or 150 keV, depending on the examination and phantom, i.e. age represented.</w:t>
      </w:r>
      <w:bookmarkEnd w:id="87"/>
      <w:r>
        <w:t xml:space="preserve"> This generic method enables any beam quality to be generated using a convolution. The dose coefficients for the monoenergetic energy bins are given normalised to fluence at the reference plane which has been defined at 1 m from the source. </w:t>
      </w:r>
      <w:bookmarkStart w:id="88" w:name="_Hlk162297874"/>
      <w:r>
        <w:t>Note that the fluence at the reference plane is always estimated in absence of the phantom</w:t>
      </w:r>
      <w:bookmarkEnd w:id="88"/>
      <w:r>
        <w:t>.  The air kerma free-in-air at the reference plane for the respective energy beam is also given. Dose coefficients for a spectral beam can then be generated in terms of x-ray fluence spectrum and air kerma per fluence per energy bin (see Section 5).</w:t>
      </w:r>
    </w:p>
    <w:p w14:paraId="6C689E77" w14:textId="77777777" w:rsidR="00E72CA9" w:rsidRDefault="00D516E3">
      <w:pPr>
        <w:pStyle w:val="Annalstext"/>
        <w:numPr>
          <w:ilvl w:val="0"/>
          <w:numId w:val="1"/>
        </w:numPr>
        <w:ind w:left="0"/>
      </w:pPr>
      <w:r>
        <w:t xml:space="preserve">Organ absorbed dose coefficients normalised to fluence at 1 keV intervals for all projections considered and all 12 phantoms are given in the electronic supplement. Provided are also the coefficients for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M</m:t>
            </m:r>
          </m:sup>
        </m:sSubSup>
        <m:r>
          <w:rPr>
            <w:rFonts w:ascii="Cambria Math" w:hAnsi="Cambria Math"/>
          </w:rPr>
          <m:t xml:space="preserve"> </m:t>
        </m:r>
      </m:oMath>
      <w:r>
        <w:t xml:space="preserve"> and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F</m:t>
            </m:r>
          </m:sup>
        </m:sSubSup>
      </m:oMath>
      <w:r>
        <w:t xml:space="preserve"> (denoted </w:t>
      </w:r>
      <m:oMath>
        <m:sSub>
          <m:sSubPr>
            <m:ctrlPr>
              <w:rPr>
                <w:rFonts w:ascii="Cambria Math" w:hAnsi="Cambria Math"/>
                <w:i/>
                <w:szCs w:val="24"/>
              </w:rPr>
            </m:ctrlPr>
          </m:sSubPr>
          <m:e>
            <m:r>
              <w:rPr>
                <w:rFonts w:ascii="Cambria Math" w:hAnsi="Cambria Math"/>
                <w:szCs w:val="24"/>
              </w:rPr>
              <m:t>E</m:t>
            </m:r>
          </m:e>
          <m:sub>
            <m:r>
              <m:rPr>
                <m:sty m:val="p"/>
              </m:rPr>
              <w:rPr>
                <w:rFonts w:ascii="Cambria Math" w:hAnsi="Cambria Math"/>
                <w:szCs w:val="24"/>
              </w:rPr>
              <m:t>103, xxM</m:t>
            </m:r>
          </m:sub>
        </m:sSub>
      </m:oMath>
      <w:r>
        <w:rPr>
          <w:vertAlign w:val="subscript"/>
        </w:rPr>
        <w:t xml:space="preserve"> </w:t>
      </w:r>
      <w:r>
        <w:t xml:space="preserve">and </w:t>
      </w:r>
      <m:oMath>
        <m:sSub>
          <m:sSubPr>
            <m:ctrlPr>
              <w:rPr>
                <w:rFonts w:ascii="Cambria Math" w:hAnsi="Cambria Math"/>
                <w:i/>
                <w:szCs w:val="24"/>
              </w:rPr>
            </m:ctrlPr>
          </m:sSubPr>
          <m:e>
            <m:r>
              <w:rPr>
                <w:rFonts w:ascii="Cambria Math" w:hAnsi="Cambria Math"/>
                <w:szCs w:val="24"/>
              </w:rPr>
              <m:t>E</m:t>
            </m:r>
          </m:e>
          <m:sub>
            <m:r>
              <m:rPr>
                <m:sty m:val="p"/>
              </m:rPr>
              <w:rPr>
                <w:rFonts w:ascii="Cambria Math" w:hAnsi="Cambria Math"/>
                <w:szCs w:val="24"/>
              </w:rPr>
              <m:t>103, xxF</m:t>
            </m:r>
          </m:sub>
        </m:sSub>
      </m:oMath>
      <w:r>
        <w:t xml:space="preserve"> as described in paragraph 20 and Annex A), again at 1 keV intervals.</w:t>
      </w:r>
      <w:r>
        <w:br w:type="page"/>
      </w:r>
    </w:p>
    <w:p w14:paraId="049435D1" w14:textId="77777777" w:rsidR="00E72CA9" w:rsidRDefault="00D516E3">
      <w:pPr>
        <w:pStyle w:val="1"/>
      </w:pPr>
      <w:bookmarkStart w:id="89" w:name="_Toc158293336"/>
      <w:bookmarkStart w:id="90" w:name="_Toc158293658"/>
      <w:bookmarkStart w:id="91" w:name="_Toc165302044"/>
      <w:r>
        <w:lastRenderedPageBreak/>
        <w:t>DOSE COEFFICIENTS FOR EXAMPLE X-RAY SPECTRA</w:t>
      </w:r>
      <w:bookmarkEnd w:id="89"/>
      <w:bookmarkEnd w:id="90"/>
      <w:bookmarkEnd w:id="91"/>
    </w:p>
    <w:p w14:paraId="44E14CB2" w14:textId="77777777" w:rsidR="00E72CA9" w:rsidRDefault="00D516E3">
      <w:pPr>
        <w:pStyle w:val="Annalstext"/>
        <w:numPr>
          <w:ilvl w:val="0"/>
          <w:numId w:val="1"/>
        </w:numPr>
        <w:ind w:left="0"/>
        <w:rPr>
          <w:i/>
        </w:rPr>
      </w:pPr>
      <w:r>
        <w:t>In the case of adult radiography, organ absorbed dose coefficients are provided</w:t>
      </w:r>
      <w:r>
        <w:rPr>
          <w:iCs/>
        </w:rPr>
        <w:t xml:space="preserve"> in the electronic supplement</w:t>
      </w:r>
      <w:r>
        <w:t xml:space="preserve"> for </w:t>
      </w:r>
      <w:r>
        <w:rPr>
          <w:bCs/>
          <w:lang w:val="en-CA"/>
        </w:rPr>
        <w:t xml:space="preserve">bremsstrahlung spectra at 60, 80, 100, and 120 kV with total filtration of 2.5, 3.0, and 3.5 mm Al. For paediatric radiography, the coefficients are provided for selected spectra in the range of 65 to 100 kV, depending on the projection and age of the child. As in the case of adult radiography, the spectra have total filtration between </w:t>
      </w:r>
      <w:proofErr w:type="gramStart"/>
      <w:r>
        <w:rPr>
          <w:bCs/>
          <w:lang w:val="en-CA"/>
        </w:rPr>
        <w:t>2.5 and 3.5 mm</w:t>
      </w:r>
      <w:proofErr w:type="gramEnd"/>
      <w:r>
        <w:rPr>
          <w:bCs/>
          <w:lang w:val="en-CA"/>
        </w:rPr>
        <w:t xml:space="preserve"> Al. Moreover, since additional copper filtration is often recommended for paediatric radiography, dose coefficients for spectra with additional filtration, i.e. 3.0 mm Al + 0.1 mm Cu are provided. Details of the beam qualities used in paediatric radiography can be seen in Table 5.1. The effect of alternative beam qualities on the dose coefficients can easily be explored using the monoenergetic data, as described in </w:t>
      </w:r>
      <w:r>
        <w:t>Section</w:t>
      </w:r>
      <w:r>
        <w:rPr>
          <w:bCs/>
          <w:lang w:val="en-CA"/>
        </w:rPr>
        <w:t xml:space="preserve"> 6. </w:t>
      </w:r>
    </w:p>
    <w:p w14:paraId="1248243B" w14:textId="77777777" w:rsidR="00E72CA9" w:rsidRDefault="00D516E3">
      <w:pPr>
        <w:pStyle w:val="Annalstext"/>
        <w:numPr>
          <w:ilvl w:val="0"/>
          <w:numId w:val="1"/>
        </w:numPr>
        <w:ind w:left="0"/>
        <w:rPr>
          <w:i/>
        </w:rPr>
      </w:pPr>
      <w:r>
        <w:rPr>
          <w:bCs/>
        </w:rPr>
        <w:t xml:space="preserve">The dose coefficients are reported as organ absorbed doses per </w:t>
      </w:r>
      <w:r>
        <w:t>KAP (</w:t>
      </w:r>
      <w:r>
        <w:rPr>
          <w:i/>
        </w:rPr>
        <w:t>P</w:t>
      </w:r>
      <w:r>
        <w:rPr>
          <w:vertAlign w:val="subscript"/>
        </w:rPr>
        <w:t>KA</w:t>
      </w:r>
      <w:r>
        <w:t>)</w:t>
      </w:r>
      <w:r>
        <w:rPr>
          <w:bCs/>
        </w:rPr>
        <w:t xml:space="preserve"> and per air kerma free-in-air at 1 m distance from the source.</w:t>
      </w:r>
      <w:r>
        <w:t xml:space="preserve"> </w:t>
      </w:r>
      <w:bookmarkStart w:id="92" w:name="_Hlk147649907"/>
      <w:r>
        <w:rPr>
          <w:bCs/>
        </w:rPr>
        <w:t>The dose coefficients for the selected spectra are also available as part of the ICRP dose viewer which is an application freely available at the Apple App Store (https://www.apple.com/app-store/) and Google Play Store (https://play.google.com/store/apps).</w:t>
      </w:r>
    </w:p>
    <w:bookmarkEnd w:id="92"/>
    <w:p w14:paraId="74A29D8F" w14:textId="77777777" w:rsidR="00E72CA9" w:rsidRDefault="00E72CA9">
      <w:pPr>
        <w:pStyle w:val="Annalstext"/>
        <w:tabs>
          <w:tab w:val="clear" w:pos="502"/>
        </w:tabs>
        <w:ind w:left="0"/>
      </w:pPr>
    </w:p>
    <w:p w14:paraId="1D8364A6" w14:textId="77777777" w:rsidR="00E72CA9" w:rsidRDefault="00E72CA9">
      <w:pPr>
        <w:pStyle w:val="Annalstext"/>
        <w:tabs>
          <w:tab w:val="clear" w:pos="502"/>
        </w:tabs>
        <w:ind w:left="284" w:firstLine="0"/>
      </w:pPr>
    </w:p>
    <w:p w14:paraId="54B8E4C8" w14:textId="77777777" w:rsidR="00E72CA9" w:rsidRDefault="00D516E3">
      <w:pPr>
        <w:pStyle w:val="Annalstext"/>
        <w:tabs>
          <w:tab w:val="clear" w:pos="502"/>
        </w:tabs>
        <w:ind w:left="0" w:firstLine="0"/>
      </w:pPr>
      <w:r>
        <w:t>Table 5.1. Details of beam qualities considered for paediatric examinations, for which dose coefficients are provided.</w:t>
      </w:r>
    </w:p>
    <w:tbl>
      <w:tblPr>
        <w:tblStyle w:val="a8"/>
        <w:tblW w:w="907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7"/>
        <w:gridCol w:w="794"/>
        <w:gridCol w:w="794"/>
        <w:gridCol w:w="794"/>
        <w:gridCol w:w="794"/>
        <w:gridCol w:w="794"/>
        <w:gridCol w:w="1276"/>
        <w:gridCol w:w="1559"/>
      </w:tblGrid>
      <w:tr w:rsidR="00E72CA9" w14:paraId="44695A38" w14:textId="77777777">
        <w:tc>
          <w:tcPr>
            <w:tcW w:w="0" w:type="auto"/>
            <w:vMerge w:val="restart"/>
            <w:tcBorders>
              <w:top w:val="single" w:sz="4" w:space="0" w:color="auto"/>
            </w:tcBorders>
            <w:tcMar>
              <w:left w:w="0" w:type="dxa"/>
              <w:right w:w="0" w:type="dxa"/>
            </w:tcMar>
            <w:vAlign w:val="bottom"/>
          </w:tcPr>
          <w:p w14:paraId="542DBA80" w14:textId="77777777" w:rsidR="00E72CA9" w:rsidRDefault="00D516E3">
            <w:pPr>
              <w:jc w:val="both"/>
              <w:rPr>
                <w:color w:val="000000"/>
              </w:rPr>
            </w:pPr>
            <w:bookmarkStart w:id="93" w:name="_Hlk158292388"/>
            <w:r>
              <w:rPr>
                <w:color w:val="000000"/>
              </w:rPr>
              <w:t>Examination</w:t>
            </w:r>
          </w:p>
        </w:tc>
        <w:tc>
          <w:tcPr>
            <w:tcW w:w="0" w:type="auto"/>
            <w:gridSpan w:val="5"/>
            <w:tcBorders>
              <w:top w:val="single" w:sz="4" w:space="0" w:color="auto"/>
              <w:bottom w:val="single" w:sz="4" w:space="0" w:color="auto"/>
            </w:tcBorders>
            <w:vAlign w:val="bottom"/>
          </w:tcPr>
          <w:p w14:paraId="7958A546" w14:textId="77777777" w:rsidR="00E72CA9" w:rsidRDefault="00D516E3">
            <w:pPr>
              <w:jc w:val="center"/>
              <w:rPr>
                <w:color w:val="000000"/>
              </w:rPr>
            </w:pPr>
            <w:r>
              <w:rPr>
                <w:color w:val="000000"/>
              </w:rPr>
              <w:t>Tube Potential(kV)</w:t>
            </w:r>
          </w:p>
        </w:tc>
        <w:tc>
          <w:tcPr>
            <w:tcW w:w="0" w:type="auto"/>
            <w:gridSpan w:val="2"/>
            <w:tcBorders>
              <w:top w:val="single" w:sz="4" w:space="0" w:color="auto"/>
              <w:bottom w:val="single" w:sz="4" w:space="0" w:color="auto"/>
            </w:tcBorders>
            <w:vAlign w:val="bottom"/>
          </w:tcPr>
          <w:p w14:paraId="58C97A65" w14:textId="77777777" w:rsidR="00E72CA9" w:rsidRDefault="00D516E3">
            <w:pPr>
              <w:jc w:val="center"/>
              <w:rPr>
                <w:color w:val="000000"/>
              </w:rPr>
            </w:pPr>
            <w:r>
              <w:t>Filtration</w:t>
            </w:r>
          </w:p>
        </w:tc>
      </w:tr>
      <w:tr w:rsidR="00E72CA9" w14:paraId="03F30740" w14:textId="77777777">
        <w:tc>
          <w:tcPr>
            <w:tcW w:w="0" w:type="auto"/>
            <w:vMerge/>
            <w:tcBorders>
              <w:bottom w:val="single" w:sz="4" w:space="0" w:color="auto"/>
            </w:tcBorders>
            <w:vAlign w:val="bottom"/>
          </w:tcPr>
          <w:p w14:paraId="18B6F4E8" w14:textId="77777777" w:rsidR="00E72CA9" w:rsidRDefault="00E72CA9">
            <w:pPr>
              <w:ind w:firstLineChars="100" w:firstLine="220"/>
              <w:jc w:val="center"/>
              <w:rPr>
                <w:color w:val="000000"/>
              </w:rPr>
            </w:pPr>
          </w:p>
        </w:tc>
        <w:tc>
          <w:tcPr>
            <w:tcW w:w="794" w:type="dxa"/>
            <w:tcBorders>
              <w:top w:val="single" w:sz="4" w:space="0" w:color="auto"/>
              <w:bottom w:val="single" w:sz="4" w:space="0" w:color="auto"/>
            </w:tcBorders>
            <w:shd w:val="clear" w:color="auto" w:fill="auto"/>
            <w:tcMar>
              <w:left w:w="28" w:type="dxa"/>
              <w:right w:w="28" w:type="dxa"/>
            </w:tcMar>
            <w:vAlign w:val="bottom"/>
          </w:tcPr>
          <w:p w14:paraId="3DDE2499" w14:textId="77777777" w:rsidR="00E72CA9" w:rsidRDefault="00D516E3">
            <w:pPr>
              <w:rPr>
                <w:color w:val="000000"/>
                <w:lang w:val="de-DE" w:eastAsia="de-DE"/>
              </w:rPr>
            </w:pPr>
            <w:bookmarkStart w:id="94" w:name="_Hlk158630090"/>
            <w:r>
              <w:rPr>
                <w:color w:val="000000"/>
              </w:rPr>
              <w:t>00MF</w:t>
            </w:r>
            <w:bookmarkEnd w:id="94"/>
          </w:p>
        </w:tc>
        <w:tc>
          <w:tcPr>
            <w:tcW w:w="794" w:type="dxa"/>
            <w:tcBorders>
              <w:top w:val="single" w:sz="4" w:space="0" w:color="auto"/>
              <w:bottom w:val="single" w:sz="4" w:space="0" w:color="auto"/>
            </w:tcBorders>
            <w:shd w:val="clear" w:color="auto" w:fill="auto"/>
            <w:tcMar>
              <w:left w:w="28" w:type="dxa"/>
              <w:right w:w="28" w:type="dxa"/>
            </w:tcMar>
            <w:vAlign w:val="bottom"/>
          </w:tcPr>
          <w:p w14:paraId="0E2EE3E4" w14:textId="77777777" w:rsidR="00E72CA9" w:rsidRDefault="00D516E3">
            <w:pPr>
              <w:rPr>
                <w:color w:val="000000"/>
                <w:lang w:val="de-DE" w:eastAsia="de-DE"/>
              </w:rPr>
            </w:pPr>
            <w:r>
              <w:rPr>
                <w:color w:val="000000"/>
              </w:rPr>
              <w:t>01MF</w:t>
            </w:r>
          </w:p>
        </w:tc>
        <w:tc>
          <w:tcPr>
            <w:tcW w:w="794" w:type="dxa"/>
            <w:tcBorders>
              <w:top w:val="single" w:sz="4" w:space="0" w:color="auto"/>
              <w:bottom w:val="single" w:sz="4" w:space="0" w:color="auto"/>
            </w:tcBorders>
            <w:shd w:val="clear" w:color="auto" w:fill="auto"/>
            <w:tcMar>
              <w:left w:w="28" w:type="dxa"/>
              <w:right w:w="28" w:type="dxa"/>
            </w:tcMar>
            <w:vAlign w:val="bottom"/>
          </w:tcPr>
          <w:p w14:paraId="37E9614B" w14:textId="77777777" w:rsidR="00E72CA9" w:rsidRDefault="00D516E3">
            <w:pPr>
              <w:rPr>
                <w:color w:val="000000"/>
              </w:rPr>
            </w:pPr>
            <w:r>
              <w:rPr>
                <w:color w:val="000000"/>
              </w:rPr>
              <w:t>05MF</w:t>
            </w:r>
          </w:p>
        </w:tc>
        <w:tc>
          <w:tcPr>
            <w:tcW w:w="794" w:type="dxa"/>
            <w:tcBorders>
              <w:top w:val="single" w:sz="4" w:space="0" w:color="auto"/>
              <w:bottom w:val="single" w:sz="4" w:space="0" w:color="auto"/>
            </w:tcBorders>
            <w:shd w:val="clear" w:color="auto" w:fill="auto"/>
            <w:tcMar>
              <w:left w:w="28" w:type="dxa"/>
              <w:right w:w="28" w:type="dxa"/>
            </w:tcMar>
            <w:vAlign w:val="bottom"/>
          </w:tcPr>
          <w:p w14:paraId="0F464E52" w14:textId="77777777" w:rsidR="00E72CA9" w:rsidRDefault="00D516E3">
            <w:pPr>
              <w:rPr>
                <w:color w:val="000000"/>
              </w:rPr>
            </w:pPr>
            <w:r>
              <w:rPr>
                <w:color w:val="000000"/>
              </w:rPr>
              <w:t>10MF</w:t>
            </w:r>
          </w:p>
        </w:tc>
        <w:tc>
          <w:tcPr>
            <w:tcW w:w="794" w:type="dxa"/>
            <w:tcBorders>
              <w:top w:val="single" w:sz="4" w:space="0" w:color="auto"/>
              <w:bottom w:val="single" w:sz="4" w:space="0" w:color="auto"/>
            </w:tcBorders>
            <w:shd w:val="clear" w:color="auto" w:fill="auto"/>
            <w:tcMar>
              <w:left w:w="28" w:type="dxa"/>
              <w:right w:w="28" w:type="dxa"/>
            </w:tcMar>
            <w:vAlign w:val="bottom"/>
          </w:tcPr>
          <w:p w14:paraId="17374BA0" w14:textId="77777777" w:rsidR="00E72CA9" w:rsidRDefault="00D516E3">
            <w:pPr>
              <w:rPr>
                <w:color w:val="000000"/>
              </w:rPr>
            </w:pPr>
            <w:r>
              <w:rPr>
                <w:color w:val="000000"/>
              </w:rPr>
              <w:t>15MF</w:t>
            </w:r>
          </w:p>
        </w:tc>
        <w:tc>
          <w:tcPr>
            <w:tcW w:w="1276" w:type="dxa"/>
            <w:tcBorders>
              <w:top w:val="single" w:sz="4" w:space="0" w:color="auto"/>
              <w:bottom w:val="single" w:sz="4" w:space="0" w:color="auto"/>
            </w:tcBorders>
            <w:tcMar>
              <w:left w:w="28" w:type="dxa"/>
              <w:right w:w="28" w:type="dxa"/>
            </w:tcMar>
            <w:vAlign w:val="bottom"/>
          </w:tcPr>
          <w:p w14:paraId="3F5CF691" w14:textId="77777777" w:rsidR="00E72CA9" w:rsidRDefault="00D516E3">
            <w:pPr>
              <w:pStyle w:val="Annalstext"/>
              <w:tabs>
                <w:tab w:val="clear" w:pos="502"/>
              </w:tabs>
              <w:ind w:left="0" w:firstLine="0"/>
              <w:jc w:val="left"/>
              <w:rPr>
                <w:szCs w:val="24"/>
              </w:rPr>
            </w:pPr>
            <w:r>
              <w:rPr>
                <w:szCs w:val="24"/>
              </w:rPr>
              <w:t>mm Al</w:t>
            </w:r>
          </w:p>
        </w:tc>
        <w:tc>
          <w:tcPr>
            <w:tcW w:w="1559" w:type="dxa"/>
            <w:tcBorders>
              <w:top w:val="single" w:sz="4" w:space="0" w:color="auto"/>
              <w:bottom w:val="single" w:sz="4" w:space="0" w:color="auto"/>
            </w:tcBorders>
            <w:tcMar>
              <w:left w:w="28" w:type="dxa"/>
              <w:right w:w="28" w:type="dxa"/>
            </w:tcMar>
            <w:vAlign w:val="bottom"/>
          </w:tcPr>
          <w:p w14:paraId="6C6BF06A" w14:textId="77777777" w:rsidR="00E72CA9" w:rsidRDefault="00D516E3">
            <w:pPr>
              <w:rPr>
                <w:color w:val="000000"/>
                <w:lang w:val="de-DE" w:eastAsia="de-DE"/>
              </w:rPr>
            </w:pPr>
            <w:r>
              <w:rPr>
                <w:color w:val="000000"/>
              </w:rPr>
              <w:t xml:space="preserve">mm </w:t>
            </w:r>
            <w:proofErr w:type="spellStart"/>
            <w:r>
              <w:rPr>
                <w:color w:val="000000"/>
              </w:rPr>
              <w:t>Al+Cu</w:t>
            </w:r>
            <w:proofErr w:type="spellEnd"/>
          </w:p>
        </w:tc>
      </w:tr>
      <w:tr w:rsidR="00E72CA9" w14:paraId="0986F588" w14:textId="77777777">
        <w:tc>
          <w:tcPr>
            <w:tcW w:w="0" w:type="auto"/>
            <w:tcMar>
              <w:left w:w="0" w:type="dxa"/>
              <w:right w:w="0" w:type="dxa"/>
            </w:tcMar>
            <w:vAlign w:val="bottom"/>
          </w:tcPr>
          <w:p w14:paraId="1D69D5BA" w14:textId="77777777" w:rsidR="00E72CA9" w:rsidRDefault="00D516E3">
            <w:pPr>
              <w:rPr>
                <w:color w:val="000000"/>
              </w:rPr>
            </w:pPr>
            <w:r>
              <w:rPr>
                <w:color w:val="000000"/>
              </w:rPr>
              <w:t>Chest PA</w:t>
            </w:r>
          </w:p>
        </w:tc>
        <w:tc>
          <w:tcPr>
            <w:tcW w:w="794" w:type="dxa"/>
            <w:tcMar>
              <w:left w:w="28" w:type="dxa"/>
              <w:right w:w="28" w:type="dxa"/>
            </w:tcMar>
            <w:vAlign w:val="bottom"/>
          </w:tcPr>
          <w:p w14:paraId="0039123F" w14:textId="77777777" w:rsidR="00E72CA9" w:rsidRDefault="00D516E3">
            <w:pPr>
              <w:rPr>
                <w:color w:val="000000"/>
              </w:rPr>
            </w:pPr>
            <w:r>
              <w:rPr>
                <w:color w:val="000000"/>
              </w:rPr>
              <w:t>N/A</w:t>
            </w:r>
          </w:p>
        </w:tc>
        <w:tc>
          <w:tcPr>
            <w:tcW w:w="794" w:type="dxa"/>
            <w:tcMar>
              <w:left w:w="28" w:type="dxa"/>
              <w:right w:w="28" w:type="dxa"/>
            </w:tcMar>
            <w:vAlign w:val="bottom"/>
          </w:tcPr>
          <w:p w14:paraId="287DADEA" w14:textId="77777777" w:rsidR="00E72CA9" w:rsidRDefault="00D516E3">
            <w:pPr>
              <w:rPr>
                <w:color w:val="000000"/>
              </w:rPr>
            </w:pPr>
            <w:r>
              <w:rPr>
                <w:color w:val="000000"/>
              </w:rPr>
              <w:t>N/A</w:t>
            </w:r>
          </w:p>
        </w:tc>
        <w:tc>
          <w:tcPr>
            <w:tcW w:w="794" w:type="dxa"/>
            <w:tcMar>
              <w:left w:w="28" w:type="dxa"/>
              <w:right w:w="28" w:type="dxa"/>
            </w:tcMar>
            <w:vAlign w:val="bottom"/>
          </w:tcPr>
          <w:p w14:paraId="7885B83B" w14:textId="77777777" w:rsidR="00E72CA9" w:rsidRDefault="00D516E3">
            <w:pPr>
              <w:rPr>
                <w:color w:val="000000"/>
              </w:rPr>
            </w:pPr>
            <w:r>
              <w:rPr>
                <w:color w:val="000000"/>
              </w:rPr>
              <w:t>70</w:t>
            </w:r>
          </w:p>
        </w:tc>
        <w:tc>
          <w:tcPr>
            <w:tcW w:w="794" w:type="dxa"/>
            <w:tcMar>
              <w:left w:w="28" w:type="dxa"/>
              <w:right w:w="28" w:type="dxa"/>
            </w:tcMar>
            <w:vAlign w:val="bottom"/>
          </w:tcPr>
          <w:p w14:paraId="3CF9AFF0" w14:textId="77777777" w:rsidR="00E72CA9" w:rsidRDefault="00D516E3">
            <w:pPr>
              <w:rPr>
                <w:color w:val="000000"/>
              </w:rPr>
            </w:pPr>
            <w:r>
              <w:rPr>
                <w:color w:val="000000"/>
              </w:rPr>
              <w:t>70</w:t>
            </w:r>
          </w:p>
        </w:tc>
        <w:tc>
          <w:tcPr>
            <w:tcW w:w="794" w:type="dxa"/>
            <w:tcMar>
              <w:left w:w="28" w:type="dxa"/>
              <w:right w:w="28" w:type="dxa"/>
            </w:tcMar>
            <w:vAlign w:val="bottom"/>
          </w:tcPr>
          <w:p w14:paraId="51DF5172" w14:textId="77777777" w:rsidR="00E72CA9" w:rsidRDefault="00D516E3">
            <w:pPr>
              <w:rPr>
                <w:color w:val="000000"/>
              </w:rPr>
            </w:pPr>
            <w:r>
              <w:rPr>
                <w:color w:val="000000"/>
              </w:rPr>
              <w:t>100</w:t>
            </w:r>
          </w:p>
        </w:tc>
        <w:tc>
          <w:tcPr>
            <w:tcW w:w="1276" w:type="dxa"/>
            <w:tcMar>
              <w:left w:w="28" w:type="dxa"/>
              <w:right w:w="28" w:type="dxa"/>
            </w:tcMar>
            <w:vAlign w:val="bottom"/>
          </w:tcPr>
          <w:p w14:paraId="7F445249" w14:textId="77777777" w:rsidR="00E72CA9" w:rsidRDefault="00D516E3">
            <w:pPr>
              <w:rPr>
                <w:color w:val="000000"/>
              </w:rPr>
            </w:pPr>
            <w:r>
              <w:rPr>
                <w:color w:val="000000"/>
              </w:rPr>
              <w:t>2.5, 3.0, 3.5</w:t>
            </w:r>
          </w:p>
        </w:tc>
        <w:tc>
          <w:tcPr>
            <w:tcW w:w="1559" w:type="dxa"/>
            <w:tcMar>
              <w:left w:w="28" w:type="dxa"/>
              <w:right w:w="28" w:type="dxa"/>
            </w:tcMar>
            <w:vAlign w:val="bottom"/>
          </w:tcPr>
          <w:p w14:paraId="7B15AC7B" w14:textId="77777777" w:rsidR="00E72CA9" w:rsidRDefault="00D516E3">
            <w:pPr>
              <w:rPr>
                <w:color w:val="000000"/>
              </w:rPr>
            </w:pPr>
            <w:r>
              <w:rPr>
                <w:color w:val="000000"/>
              </w:rPr>
              <w:t>3.00 Al +0.1Cu</w:t>
            </w:r>
          </w:p>
        </w:tc>
      </w:tr>
      <w:tr w:rsidR="00E72CA9" w14:paraId="4A4D1DC3" w14:textId="77777777">
        <w:tc>
          <w:tcPr>
            <w:tcW w:w="0" w:type="auto"/>
            <w:tcMar>
              <w:left w:w="0" w:type="dxa"/>
              <w:right w:w="0" w:type="dxa"/>
            </w:tcMar>
            <w:vAlign w:val="bottom"/>
          </w:tcPr>
          <w:p w14:paraId="198605DA" w14:textId="77777777" w:rsidR="00E72CA9" w:rsidRDefault="00D516E3">
            <w:pPr>
              <w:rPr>
                <w:color w:val="000000"/>
                <w:lang w:val="de-DE" w:eastAsia="de-DE"/>
              </w:rPr>
            </w:pPr>
            <w:r>
              <w:rPr>
                <w:color w:val="000000"/>
              </w:rPr>
              <w:t>Chest AP</w:t>
            </w:r>
          </w:p>
        </w:tc>
        <w:tc>
          <w:tcPr>
            <w:tcW w:w="794" w:type="dxa"/>
            <w:tcMar>
              <w:left w:w="28" w:type="dxa"/>
              <w:right w:w="28" w:type="dxa"/>
            </w:tcMar>
            <w:vAlign w:val="bottom"/>
          </w:tcPr>
          <w:p w14:paraId="459B2C73" w14:textId="77777777" w:rsidR="00E72CA9" w:rsidRDefault="00D516E3">
            <w:pPr>
              <w:rPr>
                <w:color w:val="000000"/>
              </w:rPr>
            </w:pPr>
            <w:r>
              <w:rPr>
                <w:color w:val="000000"/>
              </w:rPr>
              <w:t>65</w:t>
            </w:r>
          </w:p>
        </w:tc>
        <w:tc>
          <w:tcPr>
            <w:tcW w:w="794" w:type="dxa"/>
            <w:tcMar>
              <w:left w:w="28" w:type="dxa"/>
              <w:right w:w="28" w:type="dxa"/>
            </w:tcMar>
            <w:vAlign w:val="bottom"/>
          </w:tcPr>
          <w:p w14:paraId="6D0510B7" w14:textId="77777777" w:rsidR="00E72CA9" w:rsidRDefault="00D516E3">
            <w:pPr>
              <w:rPr>
                <w:color w:val="000000"/>
              </w:rPr>
            </w:pPr>
            <w:r>
              <w:rPr>
                <w:color w:val="000000"/>
              </w:rPr>
              <w:t>65</w:t>
            </w:r>
          </w:p>
        </w:tc>
        <w:tc>
          <w:tcPr>
            <w:tcW w:w="794" w:type="dxa"/>
            <w:tcMar>
              <w:left w:w="28" w:type="dxa"/>
              <w:right w:w="28" w:type="dxa"/>
            </w:tcMar>
            <w:vAlign w:val="bottom"/>
          </w:tcPr>
          <w:p w14:paraId="765F2D9F" w14:textId="77777777" w:rsidR="00E72CA9" w:rsidRDefault="00D516E3">
            <w:pPr>
              <w:rPr>
                <w:color w:val="000000"/>
              </w:rPr>
            </w:pPr>
            <w:r>
              <w:rPr>
                <w:color w:val="000000"/>
              </w:rPr>
              <w:t>70</w:t>
            </w:r>
          </w:p>
        </w:tc>
        <w:tc>
          <w:tcPr>
            <w:tcW w:w="794" w:type="dxa"/>
            <w:tcMar>
              <w:left w:w="28" w:type="dxa"/>
              <w:right w:w="28" w:type="dxa"/>
            </w:tcMar>
            <w:vAlign w:val="bottom"/>
          </w:tcPr>
          <w:p w14:paraId="3C661164" w14:textId="77777777" w:rsidR="00E72CA9" w:rsidRDefault="00D516E3">
            <w:pPr>
              <w:rPr>
                <w:color w:val="000000"/>
              </w:rPr>
            </w:pPr>
            <w:r>
              <w:rPr>
                <w:color w:val="000000"/>
              </w:rPr>
              <w:t>70</w:t>
            </w:r>
          </w:p>
        </w:tc>
        <w:tc>
          <w:tcPr>
            <w:tcW w:w="794" w:type="dxa"/>
            <w:tcMar>
              <w:left w:w="28" w:type="dxa"/>
              <w:right w:w="28" w:type="dxa"/>
            </w:tcMar>
            <w:vAlign w:val="bottom"/>
          </w:tcPr>
          <w:p w14:paraId="32B60112" w14:textId="77777777" w:rsidR="00E72CA9" w:rsidRDefault="00D516E3">
            <w:pPr>
              <w:rPr>
                <w:color w:val="000000"/>
              </w:rPr>
            </w:pPr>
            <w:r>
              <w:rPr>
                <w:color w:val="000000"/>
              </w:rPr>
              <w:t>100</w:t>
            </w:r>
          </w:p>
        </w:tc>
        <w:tc>
          <w:tcPr>
            <w:tcW w:w="1276" w:type="dxa"/>
            <w:tcMar>
              <w:left w:w="28" w:type="dxa"/>
              <w:right w:w="28" w:type="dxa"/>
            </w:tcMar>
            <w:vAlign w:val="bottom"/>
          </w:tcPr>
          <w:p w14:paraId="0B53DDEB"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2B7533B3" w14:textId="77777777" w:rsidR="00E72CA9" w:rsidRDefault="00D516E3">
            <w:pPr>
              <w:rPr>
                <w:color w:val="000000"/>
              </w:rPr>
            </w:pPr>
            <w:r>
              <w:rPr>
                <w:color w:val="000000"/>
              </w:rPr>
              <w:t>3.00 Al +0.1Cu</w:t>
            </w:r>
          </w:p>
        </w:tc>
      </w:tr>
      <w:tr w:rsidR="00E72CA9" w14:paraId="0CAA2809" w14:textId="77777777">
        <w:tc>
          <w:tcPr>
            <w:tcW w:w="0" w:type="auto"/>
            <w:tcMar>
              <w:left w:w="0" w:type="dxa"/>
              <w:right w:w="0" w:type="dxa"/>
            </w:tcMar>
            <w:vAlign w:val="bottom"/>
          </w:tcPr>
          <w:p w14:paraId="0B7BA37A" w14:textId="77777777" w:rsidR="00E72CA9" w:rsidRDefault="00D516E3">
            <w:pPr>
              <w:rPr>
                <w:color w:val="000000"/>
              </w:rPr>
            </w:pPr>
            <w:r>
              <w:rPr>
                <w:color w:val="000000"/>
              </w:rPr>
              <w:t>Chest Lat</w:t>
            </w:r>
          </w:p>
        </w:tc>
        <w:tc>
          <w:tcPr>
            <w:tcW w:w="794" w:type="dxa"/>
            <w:tcMar>
              <w:left w:w="28" w:type="dxa"/>
              <w:right w:w="28" w:type="dxa"/>
            </w:tcMar>
            <w:vAlign w:val="bottom"/>
          </w:tcPr>
          <w:p w14:paraId="213B266F" w14:textId="77777777" w:rsidR="00E72CA9" w:rsidRDefault="00D516E3">
            <w:pPr>
              <w:rPr>
                <w:color w:val="000000"/>
              </w:rPr>
            </w:pPr>
            <w:r>
              <w:rPr>
                <w:color w:val="000000"/>
              </w:rPr>
              <w:t>65</w:t>
            </w:r>
          </w:p>
        </w:tc>
        <w:tc>
          <w:tcPr>
            <w:tcW w:w="794" w:type="dxa"/>
            <w:tcMar>
              <w:left w:w="28" w:type="dxa"/>
              <w:right w:w="28" w:type="dxa"/>
            </w:tcMar>
            <w:vAlign w:val="bottom"/>
          </w:tcPr>
          <w:p w14:paraId="753E431E" w14:textId="77777777" w:rsidR="00E72CA9" w:rsidRDefault="00D516E3">
            <w:pPr>
              <w:rPr>
                <w:color w:val="000000"/>
              </w:rPr>
            </w:pPr>
            <w:r>
              <w:rPr>
                <w:color w:val="000000"/>
              </w:rPr>
              <w:t>65</w:t>
            </w:r>
          </w:p>
        </w:tc>
        <w:tc>
          <w:tcPr>
            <w:tcW w:w="794" w:type="dxa"/>
            <w:tcMar>
              <w:left w:w="28" w:type="dxa"/>
              <w:right w:w="28" w:type="dxa"/>
            </w:tcMar>
            <w:vAlign w:val="bottom"/>
          </w:tcPr>
          <w:p w14:paraId="70A1CB15" w14:textId="77777777" w:rsidR="00E72CA9" w:rsidRDefault="00D516E3">
            <w:pPr>
              <w:rPr>
                <w:color w:val="000000"/>
              </w:rPr>
            </w:pPr>
            <w:r>
              <w:rPr>
                <w:color w:val="000000"/>
              </w:rPr>
              <w:t>75</w:t>
            </w:r>
          </w:p>
        </w:tc>
        <w:tc>
          <w:tcPr>
            <w:tcW w:w="794" w:type="dxa"/>
            <w:tcMar>
              <w:left w:w="28" w:type="dxa"/>
              <w:right w:w="28" w:type="dxa"/>
            </w:tcMar>
            <w:vAlign w:val="bottom"/>
          </w:tcPr>
          <w:p w14:paraId="09F8E822" w14:textId="77777777" w:rsidR="00E72CA9" w:rsidRDefault="00D516E3">
            <w:pPr>
              <w:rPr>
                <w:color w:val="000000"/>
              </w:rPr>
            </w:pPr>
            <w:r>
              <w:rPr>
                <w:color w:val="000000"/>
              </w:rPr>
              <w:t>75</w:t>
            </w:r>
          </w:p>
        </w:tc>
        <w:tc>
          <w:tcPr>
            <w:tcW w:w="794" w:type="dxa"/>
            <w:tcMar>
              <w:left w:w="28" w:type="dxa"/>
              <w:right w:w="28" w:type="dxa"/>
            </w:tcMar>
            <w:vAlign w:val="bottom"/>
          </w:tcPr>
          <w:p w14:paraId="2CEE0B70" w14:textId="77777777" w:rsidR="00E72CA9" w:rsidRDefault="00D516E3">
            <w:pPr>
              <w:rPr>
                <w:color w:val="000000"/>
              </w:rPr>
            </w:pPr>
            <w:r>
              <w:rPr>
                <w:color w:val="000000"/>
              </w:rPr>
              <w:t>100</w:t>
            </w:r>
          </w:p>
        </w:tc>
        <w:tc>
          <w:tcPr>
            <w:tcW w:w="1276" w:type="dxa"/>
            <w:tcMar>
              <w:left w:w="28" w:type="dxa"/>
              <w:right w:w="28" w:type="dxa"/>
            </w:tcMar>
            <w:vAlign w:val="bottom"/>
          </w:tcPr>
          <w:p w14:paraId="43398C2C"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11C34E93" w14:textId="77777777" w:rsidR="00E72CA9" w:rsidRDefault="00D516E3">
            <w:pPr>
              <w:rPr>
                <w:color w:val="000000"/>
              </w:rPr>
            </w:pPr>
            <w:r>
              <w:rPr>
                <w:color w:val="000000"/>
              </w:rPr>
              <w:t>3.00 Al +0.1Cu</w:t>
            </w:r>
          </w:p>
        </w:tc>
      </w:tr>
      <w:tr w:rsidR="00E72CA9" w14:paraId="5976BCA8" w14:textId="77777777">
        <w:tc>
          <w:tcPr>
            <w:tcW w:w="0" w:type="auto"/>
            <w:tcMar>
              <w:left w:w="0" w:type="dxa"/>
              <w:right w:w="0" w:type="dxa"/>
            </w:tcMar>
            <w:vAlign w:val="bottom"/>
          </w:tcPr>
          <w:p w14:paraId="76CE9172" w14:textId="77777777" w:rsidR="00E72CA9" w:rsidRDefault="00D516E3">
            <w:pPr>
              <w:rPr>
                <w:color w:val="000000"/>
              </w:rPr>
            </w:pPr>
            <w:r>
              <w:rPr>
                <w:color w:val="000000"/>
              </w:rPr>
              <w:t>Pelvis AP</w:t>
            </w:r>
          </w:p>
        </w:tc>
        <w:tc>
          <w:tcPr>
            <w:tcW w:w="794" w:type="dxa"/>
            <w:tcMar>
              <w:left w:w="28" w:type="dxa"/>
              <w:right w:w="28" w:type="dxa"/>
            </w:tcMar>
            <w:vAlign w:val="bottom"/>
          </w:tcPr>
          <w:p w14:paraId="6DAEBABF" w14:textId="77777777" w:rsidR="00E72CA9" w:rsidRDefault="00D516E3">
            <w:pPr>
              <w:rPr>
                <w:color w:val="000000"/>
              </w:rPr>
            </w:pPr>
            <w:r>
              <w:rPr>
                <w:color w:val="000000"/>
              </w:rPr>
              <w:t>65</w:t>
            </w:r>
          </w:p>
        </w:tc>
        <w:tc>
          <w:tcPr>
            <w:tcW w:w="794" w:type="dxa"/>
            <w:tcMar>
              <w:left w:w="28" w:type="dxa"/>
              <w:right w:w="28" w:type="dxa"/>
            </w:tcMar>
            <w:vAlign w:val="bottom"/>
          </w:tcPr>
          <w:p w14:paraId="633F26CC" w14:textId="77777777" w:rsidR="00E72CA9" w:rsidRDefault="00D516E3">
            <w:pPr>
              <w:rPr>
                <w:color w:val="000000"/>
              </w:rPr>
            </w:pPr>
            <w:r>
              <w:rPr>
                <w:color w:val="000000"/>
              </w:rPr>
              <w:t>65</w:t>
            </w:r>
          </w:p>
        </w:tc>
        <w:tc>
          <w:tcPr>
            <w:tcW w:w="794" w:type="dxa"/>
            <w:tcMar>
              <w:left w:w="28" w:type="dxa"/>
              <w:right w:w="28" w:type="dxa"/>
            </w:tcMar>
            <w:vAlign w:val="bottom"/>
          </w:tcPr>
          <w:p w14:paraId="08C0523B" w14:textId="77777777" w:rsidR="00E72CA9" w:rsidRDefault="00D516E3">
            <w:pPr>
              <w:rPr>
                <w:color w:val="000000"/>
              </w:rPr>
            </w:pPr>
            <w:r>
              <w:rPr>
                <w:color w:val="000000"/>
              </w:rPr>
              <w:t>70</w:t>
            </w:r>
          </w:p>
        </w:tc>
        <w:tc>
          <w:tcPr>
            <w:tcW w:w="794" w:type="dxa"/>
            <w:tcMar>
              <w:left w:w="28" w:type="dxa"/>
              <w:right w:w="28" w:type="dxa"/>
            </w:tcMar>
            <w:vAlign w:val="bottom"/>
          </w:tcPr>
          <w:p w14:paraId="551F470C" w14:textId="77777777" w:rsidR="00E72CA9" w:rsidRDefault="00D516E3">
            <w:pPr>
              <w:rPr>
                <w:color w:val="000000"/>
              </w:rPr>
            </w:pPr>
            <w:r>
              <w:rPr>
                <w:color w:val="000000"/>
              </w:rPr>
              <w:t>75</w:t>
            </w:r>
          </w:p>
        </w:tc>
        <w:tc>
          <w:tcPr>
            <w:tcW w:w="794" w:type="dxa"/>
            <w:tcMar>
              <w:left w:w="28" w:type="dxa"/>
              <w:right w:w="28" w:type="dxa"/>
            </w:tcMar>
            <w:vAlign w:val="bottom"/>
          </w:tcPr>
          <w:p w14:paraId="2BF5783E" w14:textId="77777777" w:rsidR="00E72CA9" w:rsidRDefault="00D516E3">
            <w:pPr>
              <w:rPr>
                <w:color w:val="000000"/>
              </w:rPr>
            </w:pPr>
            <w:r>
              <w:rPr>
                <w:color w:val="000000"/>
              </w:rPr>
              <w:t>80</w:t>
            </w:r>
          </w:p>
        </w:tc>
        <w:tc>
          <w:tcPr>
            <w:tcW w:w="1276" w:type="dxa"/>
            <w:tcMar>
              <w:left w:w="28" w:type="dxa"/>
              <w:right w:w="28" w:type="dxa"/>
            </w:tcMar>
            <w:vAlign w:val="bottom"/>
          </w:tcPr>
          <w:p w14:paraId="0312B70C"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0004F6A5" w14:textId="77777777" w:rsidR="00E72CA9" w:rsidRDefault="00D516E3">
            <w:pPr>
              <w:rPr>
                <w:color w:val="000000"/>
              </w:rPr>
            </w:pPr>
            <w:r>
              <w:rPr>
                <w:color w:val="000000"/>
              </w:rPr>
              <w:t>3.00 Al +0.1Cu</w:t>
            </w:r>
          </w:p>
        </w:tc>
      </w:tr>
      <w:tr w:rsidR="00E72CA9" w14:paraId="58F80289" w14:textId="77777777">
        <w:tc>
          <w:tcPr>
            <w:tcW w:w="0" w:type="auto"/>
            <w:tcMar>
              <w:left w:w="0" w:type="dxa"/>
              <w:right w:w="0" w:type="dxa"/>
            </w:tcMar>
            <w:vAlign w:val="bottom"/>
          </w:tcPr>
          <w:p w14:paraId="3B306A05" w14:textId="77777777" w:rsidR="00E72CA9" w:rsidRDefault="00D516E3">
            <w:pPr>
              <w:rPr>
                <w:color w:val="000000"/>
              </w:rPr>
            </w:pPr>
            <w:r>
              <w:rPr>
                <w:color w:val="000000"/>
              </w:rPr>
              <w:t>Abdomen AP</w:t>
            </w:r>
          </w:p>
        </w:tc>
        <w:tc>
          <w:tcPr>
            <w:tcW w:w="794" w:type="dxa"/>
            <w:tcMar>
              <w:left w:w="28" w:type="dxa"/>
              <w:right w:w="28" w:type="dxa"/>
            </w:tcMar>
            <w:vAlign w:val="bottom"/>
          </w:tcPr>
          <w:p w14:paraId="4B600793" w14:textId="77777777" w:rsidR="00E72CA9" w:rsidRDefault="00D516E3">
            <w:pPr>
              <w:rPr>
                <w:color w:val="000000"/>
              </w:rPr>
            </w:pPr>
            <w:r>
              <w:rPr>
                <w:color w:val="000000"/>
              </w:rPr>
              <w:t>65</w:t>
            </w:r>
          </w:p>
        </w:tc>
        <w:tc>
          <w:tcPr>
            <w:tcW w:w="794" w:type="dxa"/>
            <w:tcMar>
              <w:left w:w="28" w:type="dxa"/>
              <w:right w:w="28" w:type="dxa"/>
            </w:tcMar>
            <w:vAlign w:val="bottom"/>
          </w:tcPr>
          <w:p w14:paraId="3E0F705D" w14:textId="77777777" w:rsidR="00E72CA9" w:rsidRDefault="00D516E3">
            <w:pPr>
              <w:rPr>
                <w:color w:val="000000"/>
              </w:rPr>
            </w:pPr>
            <w:r>
              <w:rPr>
                <w:color w:val="000000"/>
              </w:rPr>
              <w:t>65</w:t>
            </w:r>
          </w:p>
        </w:tc>
        <w:tc>
          <w:tcPr>
            <w:tcW w:w="794" w:type="dxa"/>
            <w:tcMar>
              <w:left w:w="28" w:type="dxa"/>
              <w:right w:w="28" w:type="dxa"/>
            </w:tcMar>
            <w:vAlign w:val="bottom"/>
          </w:tcPr>
          <w:p w14:paraId="71567114" w14:textId="77777777" w:rsidR="00E72CA9" w:rsidRDefault="00D516E3">
            <w:pPr>
              <w:rPr>
                <w:color w:val="000000"/>
              </w:rPr>
            </w:pPr>
            <w:r>
              <w:rPr>
                <w:color w:val="000000"/>
              </w:rPr>
              <w:t>70</w:t>
            </w:r>
          </w:p>
        </w:tc>
        <w:tc>
          <w:tcPr>
            <w:tcW w:w="794" w:type="dxa"/>
            <w:tcMar>
              <w:left w:w="28" w:type="dxa"/>
              <w:right w:w="28" w:type="dxa"/>
            </w:tcMar>
            <w:vAlign w:val="bottom"/>
          </w:tcPr>
          <w:p w14:paraId="1C3D0F8B" w14:textId="77777777" w:rsidR="00E72CA9" w:rsidRDefault="00D516E3">
            <w:pPr>
              <w:rPr>
                <w:color w:val="000000"/>
              </w:rPr>
            </w:pPr>
            <w:r>
              <w:rPr>
                <w:color w:val="000000"/>
              </w:rPr>
              <w:t>75</w:t>
            </w:r>
          </w:p>
        </w:tc>
        <w:tc>
          <w:tcPr>
            <w:tcW w:w="794" w:type="dxa"/>
            <w:tcMar>
              <w:left w:w="28" w:type="dxa"/>
              <w:right w:w="28" w:type="dxa"/>
            </w:tcMar>
            <w:vAlign w:val="bottom"/>
          </w:tcPr>
          <w:p w14:paraId="6D8A03F6" w14:textId="77777777" w:rsidR="00E72CA9" w:rsidRDefault="00D516E3">
            <w:pPr>
              <w:rPr>
                <w:color w:val="000000"/>
              </w:rPr>
            </w:pPr>
            <w:r>
              <w:rPr>
                <w:color w:val="000000"/>
              </w:rPr>
              <w:t>75</w:t>
            </w:r>
          </w:p>
        </w:tc>
        <w:tc>
          <w:tcPr>
            <w:tcW w:w="1276" w:type="dxa"/>
            <w:tcMar>
              <w:left w:w="28" w:type="dxa"/>
              <w:right w:w="28" w:type="dxa"/>
            </w:tcMar>
            <w:vAlign w:val="bottom"/>
          </w:tcPr>
          <w:p w14:paraId="62C6E49C"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033D1269" w14:textId="77777777" w:rsidR="00E72CA9" w:rsidRDefault="00D516E3">
            <w:pPr>
              <w:rPr>
                <w:color w:val="000000"/>
              </w:rPr>
            </w:pPr>
            <w:r>
              <w:rPr>
                <w:color w:val="000000"/>
              </w:rPr>
              <w:t>3.00 Al +0.1Cu</w:t>
            </w:r>
          </w:p>
        </w:tc>
      </w:tr>
      <w:tr w:rsidR="00E72CA9" w14:paraId="50BD752B" w14:textId="77777777">
        <w:tc>
          <w:tcPr>
            <w:tcW w:w="0" w:type="auto"/>
            <w:tcMar>
              <w:left w:w="0" w:type="dxa"/>
              <w:right w:w="0" w:type="dxa"/>
            </w:tcMar>
            <w:vAlign w:val="bottom"/>
          </w:tcPr>
          <w:p w14:paraId="3D862B0C" w14:textId="77777777" w:rsidR="00E72CA9" w:rsidRDefault="00D516E3">
            <w:pPr>
              <w:rPr>
                <w:color w:val="000000"/>
              </w:rPr>
            </w:pPr>
            <w:r>
              <w:rPr>
                <w:color w:val="000000"/>
              </w:rPr>
              <w:t>Lumbar Spine AP</w:t>
            </w:r>
          </w:p>
        </w:tc>
        <w:tc>
          <w:tcPr>
            <w:tcW w:w="794" w:type="dxa"/>
            <w:tcMar>
              <w:left w:w="28" w:type="dxa"/>
              <w:right w:w="28" w:type="dxa"/>
            </w:tcMar>
            <w:vAlign w:val="bottom"/>
          </w:tcPr>
          <w:p w14:paraId="5F2E3DB4" w14:textId="77777777" w:rsidR="00E72CA9" w:rsidRDefault="00D516E3">
            <w:pPr>
              <w:rPr>
                <w:color w:val="000000"/>
              </w:rPr>
            </w:pPr>
            <w:r>
              <w:rPr>
                <w:color w:val="000000"/>
              </w:rPr>
              <w:t>65</w:t>
            </w:r>
          </w:p>
        </w:tc>
        <w:tc>
          <w:tcPr>
            <w:tcW w:w="794" w:type="dxa"/>
            <w:tcMar>
              <w:left w:w="28" w:type="dxa"/>
              <w:right w:w="28" w:type="dxa"/>
            </w:tcMar>
            <w:vAlign w:val="bottom"/>
          </w:tcPr>
          <w:p w14:paraId="0C021423" w14:textId="77777777" w:rsidR="00E72CA9" w:rsidRDefault="00D516E3">
            <w:pPr>
              <w:rPr>
                <w:color w:val="000000"/>
              </w:rPr>
            </w:pPr>
            <w:r>
              <w:rPr>
                <w:color w:val="000000"/>
              </w:rPr>
              <w:t>70</w:t>
            </w:r>
          </w:p>
        </w:tc>
        <w:tc>
          <w:tcPr>
            <w:tcW w:w="794" w:type="dxa"/>
            <w:tcMar>
              <w:left w:w="28" w:type="dxa"/>
              <w:right w:w="28" w:type="dxa"/>
            </w:tcMar>
            <w:vAlign w:val="bottom"/>
          </w:tcPr>
          <w:p w14:paraId="46CB2BDA" w14:textId="77777777" w:rsidR="00E72CA9" w:rsidRDefault="00D516E3">
            <w:pPr>
              <w:rPr>
                <w:color w:val="000000"/>
              </w:rPr>
            </w:pPr>
            <w:r>
              <w:rPr>
                <w:color w:val="000000"/>
              </w:rPr>
              <w:t>70</w:t>
            </w:r>
          </w:p>
        </w:tc>
        <w:tc>
          <w:tcPr>
            <w:tcW w:w="794" w:type="dxa"/>
            <w:tcMar>
              <w:left w:w="28" w:type="dxa"/>
              <w:right w:w="28" w:type="dxa"/>
            </w:tcMar>
            <w:vAlign w:val="bottom"/>
          </w:tcPr>
          <w:p w14:paraId="7B5E1951" w14:textId="77777777" w:rsidR="00E72CA9" w:rsidRDefault="00D516E3">
            <w:pPr>
              <w:rPr>
                <w:color w:val="000000"/>
              </w:rPr>
            </w:pPr>
            <w:r>
              <w:rPr>
                <w:color w:val="000000"/>
              </w:rPr>
              <w:t>75</w:t>
            </w:r>
          </w:p>
        </w:tc>
        <w:tc>
          <w:tcPr>
            <w:tcW w:w="794" w:type="dxa"/>
            <w:tcMar>
              <w:left w:w="28" w:type="dxa"/>
              <w:right w:w="28" w:type="dxa"/>
            </w:tcMar>
            <w:vAlign w:val="bottom"/>
          </w:tcPr>
          <w:p w14:paraId="63FE316F" w14:textId="77777777" w:rsidR="00E72CA9" w:rsidRDefault="00D516E3">
            <w:pPr>
              <w:rPr>
                <w:color w:val="000000"/>
              </w:rPr>
            </w:pPr>
            <w:r>
              <w:rPr>
                <w:color w:val="000000"/>
              </w:rPr>
              <w:t>80</w:t>
            </w:r>
          </w:p>
        </w:tc>
        <w:tc>
          <w:tcPr>
            <w:tcW w:w="1276" w:type="dxa"/>
            <w:tcMar>
              <w:left w:w="28" w:type="dxa"/>
              <w:right w:w="28" w:type="dxa"/>
            </w:tcMar>
            <w:vAlign w:val="bottom"/>
          </w:tcPr>
          <w:p w14:paraId="29BB56A7"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12F80AA7" w14:textId="77777777" w:rsidR="00E72CA9" w:rsidRDefault="00D516E3">
            <w:pPr>
              <w:rPr>
                <w:color w:val="000000"/>
              </w:rPr>
            </w:pPr>
            <w:r>
              <w:rPr>
                <w:color w:val="000000"/>
              </w:rPr>
              <w:t>3.00 Al +0.1Cu</w:t>
            </w:r>
          </w:p>
        </w:tc>
      </w:tr>
      <w:tr w:rsidR="00E72CA9" w14:paraId="20661188" w14:textId="77777777">
        <w:tc>
          <w:tcPr>
            <w:tcW w:w="0" w:type="auto"/>
            <w:tcMar>
              <w:left w:w="0" w:type="dxa"/>
              <w:right w:w="0" w:type="dxa"/>
            </w:tcMar>
            <w:vAlign w:val="bottom"/>
          </w:tcPr>
          <w:p w14:paraId="0F44DDEC" w14:textId="77777777" w:rsidR="00E72CA9" w:rsidRDefault="00D516E3">
            <w:pPr>
              <w:rPr>
                <w:color w:val="000000"/>
              </w:rPr>
            </w:pPr>
            <w:r>
              <w:rPr>
                <w:color w:val="000000"/>
              </w:rPr>
              <w:t>Lumbar Spine Lat</w:t>
            </w:r>
          </w:p>
        </w:tc>
        <w:tc>
          <w:tcPr>
            <w:tcW w:w="794" w:type="dxa"/>
            <w:tcMar>
              <w:left w:w="28" w:type="dxa"/>
              <w:right w:w="28" w:type="dxa"/>
            </w:tcMar>
            <w:vAlign w:val="bottom"/>
          </w:tcPr>
          <w:p w14:paraId="60025E68" w14:textId="77777777" w:rsidR="00E72CA9" w:rsidRDefault="00D516E3">
            <w:pPr>
              <w:rPr>
                <w:color w:val="000000"/>
              </w:rPr>
            </w:pPr>
            <w:r>
              <w:rPr>
                <w:color w:val="000000"/>
              </w:rPr>
              <w:t>65</w:t>
            </w:r>
          </w:p>
        </w:tc>
        <w:tc>
          <w:tcPr>
            <w:tcW w:w="794" w:type="dxa"/>
            <w:tcMar>
              <w:left w:w="28" w:type="dxa"/>
              <w:right w:w="28" w:type="dxa"/>
            </w:tcMar>
            <w:vAlign w:val="bottom"/>
          </w:tcPr>
          <w:p w14:paraId="55EC940C" w14:textId="77777777" w:rsidR="00E72CA9" w:rsidRDefault="00D516E3">
            <w:pPr>
              <w:rPr>
                <w:color w:val="000000"/>
              </w:rPr>
            </w:pPr>
            <w:r>
              <w:rPr>
                <w:color w:val="000000"/>
              </w:rPr>
              <w:t>70</w:t>
            </w:r>
          </w:p>
        </w:tc>
        <w:tc>
          <w:tcPr>
            <w:tcW w:w="794" w:type="dxa"/>
            <w:tcMar>
              <w:left w:w="28" w:type="dxa"/>
              <w:right w:w="28" w:type="dxa"/>
            </w:tcMar>
            <w:vAlign w:val="bottom"/>
          </w:tcPr>
          <w:p w14:paraId="6FF86926" w14:textId="77777777" w:rsidR="00E72CA9" w:rsidRDefault="00D516E3">
            <w:pPr>
              <w:rPr>
                <w:color w:val="000000"/>
              </w:rPr>
            </w:pPr>
            <w:r>
              <w:rPr>
                <w:color w:val="000000"/>
              </w:rPr>
              <w:t>70</w:t>
            </w:r>
          </w:p>
        </w:tc>
        <w:tc>
          <w:tcPr>
            <w:tcW w:w="794" w:type="dxa"/>
            <w:tcMar>
              <w:left w:w="28" w:type="dxa"/>
              <w:right w:w="28" w:type="dxa"/>
            </w:tcMar>
            <w:vAlign w:val="bottom"/>
          </w:tcPr>
          <w:p w14:paraId="27E6BA03" w14:textId="77777777" w:rsidR="00E72CA9" w:rsidRDefault="00D516E3">
            <w:pPr>
              <w:rPr>
                <w:color w:val="000000"/>
              </w:rPr>
            </w:pPr>
            <w:r>
              <w:rPr>
                <w:color w:val="000000"/>
              </w:rPr>
              <w:t>75</w:t>
            </w:r>
          </w:p>
        </w:tc>
        <w:tc>
          <w:tcPr>
            <w:tcW w:w="794" w:type="dxa"/>
            <w:tcMar>
              <w:left w:w="28" w:type="dxa"/>
              <w:right w:w="28" w:type="dxa"/>
            </w:tcMar>
            <w:vAlign w:val="bottom"/>
          </w:tcPr>
          <w:p w14:paraId="597ACB72" w14:textId="77777777" w:rsidR="00E72CA9" w:rsidRDefault="00D516E3">
            <w:pPr>
              <w:rPr>
                <w:color w:val="000000"/>
              </w:rPr>
            </w:pPr>
            <w:r>
              <w:rPr>
                <w:color w:val="000000"/>
              </w:rPr>
              <w:t>80</w:t>
            </w:r>
          </w:p>
        </w:tc>
        <w:tc>
          <w:tcPr>
            <w:tcW w:w="1276" w:type="dxa"/>
            <w:tcMar>
              <w:left w:w="28" w:type="dxa"/>
              <w:right w:w="28" w:type="dxa"/>
            </w:tcMar>
            <w:vAlign w:val="bottom"/>
          </w:tcPr>
          <w:p w14:paraId="56DBC3C2"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47F1C02B" w14:textId="77777777" w:rsidR="00E72CA9" w:rsidRDefault="00D516E3">
            <w:pPr>
              <w:rPr>
                <w:color w:val="000000"/>
              </w:rPr>
            </w:pPr>
            <w:r>
              <w:rPr>
                <w:color w:val="000000"/>
              </w:rPr>
              <w:t>3.00 Al +0.1Cu</w:t>
            </w:r>
          </w:p>
        </w:tc>
      </w:tr>
      <w:tr w:rsidR="00E72CA9" w14:paraId="3D7069E5" w14:textId="77777777">
        <w:tc>
          <w:tcPr>
            <w:tcW w:w="0" w:type="auto"/>
            <w:tcMar>
              <w:left w:w="0" w:type="dxa"/>
              <w:right w:w="0" w:type="dxa"/>
            </w:tcMar>
            <w:vAlign w:val="bottom"/>
          </w:tcPr>
          <w:p w14:paraId="06BB5511" w14:textId="77777777" w:rsidR="00E72CA9" w:rsidRDefault="00D516E3">
            <w:pPr>
              <w:rPr>
                <w:color w:val="000000"/>
              </w:rPr>
            </w:pPr>
            <w:r>
              <w:rPr>
                <w:color w:val="000000"/>
              </w:rPr>
              <w:t>Thoraco-lumbar spine Lat</w:t>
            </w:r>
          </w:p>
        </w:tc>
        <w:tc>
          <w:tcPr>
            <w:tcW w:w="794" w:type="dxa"/>
            <w:tcMar>
              <w:left w:w="28" w:type="dxa"/>
              <w:right w:w="28" w:type="dxa"/>
            </w:tcMar>
            <w:vAlign w:val="bottom"/>
          </w:tcPr>
          <w:p w14:paraId="5BBB2BAA" w14:textId="77777777" w:rsidR="00E72CA9" w:rsidRDefault="00D516E3">
            <w:pPr>
              <w:rPr>
                <w:color w:val="000000"/>
              </w:rPr>
            </w:pPr>
            <w:r>
              <w:rPr>
                <w:color w:val="000000"/>
              </w:rPr>
              <w:t>60</w:t>
            </w:r>
          </w:p>
        </w:tc>
        <w:tc>
          <w:tcPr>
            <w:tcW w:w="794" w:type="dxa"/>
            <w:tcMar>
              <w:left w:w="28" w:type="dxa"/>
              <w:right w:w="28" w:type="dxa"/>
            </w:tcMar>
            <w:vAlign w:val="bottom"/>
          </w:tcPr>
          <w:p w14:paraId="36870554" w14:textId="77777777" w:rsidR="00E72CA9" w:rsidRDefault="00D516E3">
            <w:pPr>
              <w:rPr>
                <w:color w:val="000000"/>
              </w:rPr>
            </w:pPr>
            <w:r>
              <w:rPr>
                <w:color w:val="000000"/>
              </w:rPr>
              <w:t>60</w:t>
            </w:r>
          </w:p>
        </w:tc>
        <w:tc>
          <w:tcPr>
            <w:tcW w:w="794" w:type="dxa"/>
            <w:tcMar>
              <w:left w:w="28" w:type="dxa"/>
              <w:right w:w="28" w:type="dxa"/>
            </w:tcMar>
            <w:vAlign w:val="bottom"/>
          </w:tcPr>
          <w:p w14:paraId="74E448EB" w14:textId="77777777" w:rsidR="00E72CA9" w:rsidRDefault="00D516E3">
            <w:pPr>
              <w:rPr>
                <w:color w:val="000000"/>
              </w:rPr>
            </w:pPr>
            <w:r>
              <w:rPr>
                <w:color w:val="000000"/>
              </w:rPr>
              <w:t>65</w:t>
            </w:r>
          </w:p>
        </w:tc>
        <w:tc>
          <w:tcPr>
            <w:tcW w:w="794" w:type="dxa"/>
            <w:tcMar>
              <w:left w:w="28" w:type="dxa"/>
              <w:right w:w="28" w:type="dxa"/>
            </w:tcMar>
            <w:vAlign w:val="bottom"/>
          </w:tcPr>
          <w:p w14:paraId="74CE64AA" w14:textId="77777777" w:rsidR="00E72CA9" w:rsidRDefault="00D516E3">
            <w:pPr>
              <w:rPr>
                <w:color w:val="000000"/>
              </w:rPr>
            </w:pPr>
            <w:r>
              <w:rPr>
                <w:color w:val="000000"/>
              </w:rPr>
              <w:t>70</w:t>
            </w:r>
          </w:p>
        </w:tc>
        <w:tc>
          <w:tcPr>
            <w:tcW w:w="794" w:type="dxa"/>
            <w:tcMar>
              <w:left w:w="28" w:type="dxa"/>
              <w:right w:w="28" w:type="dxa"/>
            </w:tcMar>
            <w:vAlign w:val="bottom"/>
          </w:tcPr>
          <w:p w14:paraId="2CF8D35B" w14:textId="77777777" w:rsidR="00E72CA9" w:rsidRDefault="00D516E3">
            <w:pPr>
              <w:rPr>
                <w:color w:val="000000"/>
              </w:rPr>
            </w:pPr>
            <w:r>
              <w:rPr>
                <w:color w:val="000000"/>
              </w:rPr>
              <w:t>70</w:t>
            </w:r>
          </w:p>
        </w:tc>
        <w:tc>
          <w:tcPr>
            <w:tcW w:w="1276" w:type="dxa"/>
            <w:tcMar>
              <w:left w:w="28" w:type="dxa"/>
              <w:right w:w="28" w:type="dxa"/>
            </w:tcMar>
            <w:vAlign w:val="bottom"/>
          </w:tcPr>
          <w:p w14:paraId="60D11ECD"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51978905" w14:textId="77777777" w:rsidR="00E72CA9" w:rsidRDefault="00D516E3">
            <w:pPr>
              <w:rPr>
                <w:color w:val="000000"/>
              </w:rPr>
            </w:pPr>
            <w:r>
              <w:rPr>
                <w:color w:val="000000"/>
              </w:rPr>
              <w:t>3.00 Al +0.1Cu</w:t>
            </w:r>
          </w:p>
        </w:tc>
      </w:tr>
      <w:tr w:rsidR="00E72CA9" w14:paraId="60321C04" w14:textId="77777777">
        <w:tc>
          <w:tcPr>
            <w:tcW w:w="0" w:type="auto"/>
            <w:tcMar>
              <w:left w:w="0" w:type="dxa"/>
              <w:right w:w="0" w:type="dxa"/>
            </w:tcMar>
            <w:vAlign w:val="bottom"/>
          </w:tcPr>
          <w:p w14:paraId="1C9B514F" w14:textId="77777777" w:rsidR="00E72CA9" w:rsidRDefault="00D516E3">
            <w:pPr>
              <w:rPr>
                <w:color w:val="000000"/>
              </w:rPr>
            </w:pPr>
            <w:r>
              <w:rPr>
                <w:color w:val="000000"/>
              </w:rPr>
              <w:t>Scoliosis AP</w:t>
            </w:r>
          </w:p>
        </w:tc>
        <w:tc>
          <w:tcPr>
            <w:tcW w:w="794" w:type="dxa"/>
            <w:tcMar>
              <w:left w:w="28" w:type="dxa"/>
              <w:right w:w="28" w:type="dxa"/>
            </w:tcMar>
            <w:vAlign w:val="bottom"/>
          </w:tcPr>
          <w:p w14:paraId="0D8AF262" w14:textId="77777777" w:rsidR="00E72CA9" w:rsidRDefault="00D516E3">
            <w:pPr>
              <w:rPr>
                <w:color w:val="000000"/>
              </w:rPr>
            </w:pPr>
            <w:r>
              <w:rPr>
                <w:color w:val="000000"/>
              </w:rPr>
              <w:t>65</w:t>
            </w:r>
          </w:p>
        </w:tc>
        <w:tc>
          <w:tcPr>
            <w:tcW w:w="794" w:type="dxa"/>
            <w:tcMar>
              <w:left w:w="28" w:type="dxa"/>
              <w:right w:w="28" w:type="dxa"/>
            </w:tcMar>
            <w:vAlign w:val="bottom"/>
          </w:tcPr>
          <w:p w14:paraId="2681534C" w14:textId="77777777" w:rsidR="00E72CA9" w:rsidRDefault="00D516E3">
            <w:pPr>
              <w:rPr>
                <w:color w:val="000000"/>
              </w:rPr>
            </w:pPr>
            <w:r>
              <w:rPr>
                <w:color w:val="000000"/>
              </w:rPr>
              <w:t>70</w:t>
            </w:r>
          </w:p>
        </w:tc>
        <w:tc>
          <w:tcPr>
            <w:tcW w:w="794" w:type="dxa"/>
            <w:tcMar>
              <w:left w:w="28" w:type="dxa"/>
              <w:right w:w="28" w:type="dxa"/>
            </w:tcMar>
            <w:vAlign w:val="bottom"/>
          </w:tcPr>
          <w:p w14:paraId="4A655F34" w14:textId="77777777" w:rsidR="00E72CA9" w:rsidRDefault="00D516E3">
            <w:pPr>
              <w:rPr>
                <w:color w:val="000000"/>
              </w:rPr>
            </w:pPr>
            <w:r>
              <w:rPr>
                <w:color w:val="000000"/>
              </w:rPr>
              <w:t>N/A</w:t>
            </w:r>
          </w:p>
        </w:tc>
        <w:tc>
          <w:tcPr>
            <w:tcW w:w="794" w:type="dxa"/>
            <w:tcMar>
              <w:left w:w="28" w:type="dxa"/>
              <w:right w:w="28" w:type="dxa"/>
            </w:tcMar>
            <w:vAlign w:val="bottom"/>
          </w:tcPr>
          <w:p w14:paraId="2E022A81" w14:textId="77777777" w:rsidR="00E72CA9" w:rsidRDefault="00D516E3">
            <w:pPr>
              <w:rPr>
                <w:color w:val="000000"/>
              </w:rPr>
            </w:pPr>
            <w:r>
              <w:rPr>
                <w:color w:val="000000"/>
              </w:rPr>
              <w:t>N/A</w:t>
            </w:r>
          </w:p>
        </w:tc>
        <w:tc>
          <w:tcPr>
            <w:tcW w:w="794" w:type="dxa"/>
            <w:tcMar>
              <w:left w:w="28" w:type="dxa"/>
              <w:right w:w="28" w:type="dxa"/>
            </w:tcMar>
            <w:vAlign w:val="bottom"/>
          </w:tcPr>
          <w:p w14:paraId="24255DD3" w14:textId="77777777" w:rsidR="00E72CA9" w:rsidRDefault="00D516E3">
            <w:pPr>
              <w:rPr>
                <w:color w:val="000000"/>
              </w:rPr>
            </w:pPr>
            <w:r>
              <w:rPr>
                <w:color w:val="000000"/>
              </w:rPr>
              <w:t>N/A</w:t>
            </w:r>
          </w:p>
        </w:tc>
        <w:tc>
          <w:tcPr>
            <w:tcW w:w="1276" w:type="dxa"/>
            <w:tcMar>
              <w:left w:w="28" w:type="dxa"/>
              <w:right w:w="28" w:type="dxa"/>
            </w:tcMar>
            <w:vAlign w:val="bottom"/>
          </w:tcPr>
          <w:p w14:paraId="488D1BA7"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686AB1C1" w14:textId="77777777" w:rsidR="00E72CA9" w:rsidRDefault="00D516E3">
            <w:pPr>
              <w:rPr>
                <w:color w:val="000000"/>
              </w:rPr>
            </w:pPr>
            <w:r>
              <w:rPr>
                <w:color w:val="000000"/>
              </w:rPr>
              <w:t>3.00 Al +0.1Cu</w:t>
            </w:r>
          </w:p>
        </w:tc>
      </w:tr>
      <w:tr w:rsidR="00E72CA9" w14:paraId="339D4A64" w14:textId="77777777">
        <w:tc>
          <w:tcPr>
            <w:tcW w:w="0" w:type="auto"/>
            <w:tcMar>
              <w:left w:w="0" w:type="dxa"/>
              <w:right w:w="0" w:type="dxa"/>
            </w:tcMar>
            <w:vAlign w:val="bottom"/>
          </w:tcPr>
          <w:p w14:paraId="7D69BCA9" w14:textId="77777777" w:rsidR="00E72CA9" w:rsidRDefault="00D516E3">
            <w:pPr>
              <w:rPr>
                <w:color w:val="000000"/>
              </w:rPr>
            </w:pPr>
            <w:r>
              <w:rPr>
                <w:color w:val="000000"/>
              </w:rPr>
              <w:t>Scoliosis PA</w:t>
            </w:r>
          </w:p>
        </w:tc>
        <w:tc>
          <w:tcPr>
            <w:tcW w:w="794" w:type="dxa"/>
            <w:tcMar>
              <w:left w:w="28" w:type="dxa"/>
              <w:right w:w="28" w:type="dxa"/>
            </w:tcMar>
            <w:vAlign w:val="bottom"/>
          </w:tcPr>
          <w:p w14:paraId="5C779F39" w14:textId="77777777" w:rsidR="00E72CA9" w:rsidRDefault="00D516E3">
            <w:pPr>
              <w:rPr>
                <w:color w:val="000000"/>
              </w:rPr>
            </w:pPr>
            <w:r>
              <w:rPr>
                <w:color w:val="000000"/>
              </w:rPr>
              <w:t>N/A</w:t>
            </w:r>
          </w:p>
        </w:tc>
        <w:tc>
          <w:tcPr>
            <w:tcW w:w="794" w:type="dxa"/>
            <w:tcMar>
              <w:left w:w="28" w:type="dxa"/>
              <w:right w:w="28" w:type="dxa"/>
            </w:tcMar>
            <w:vAlign w:val="bottom"/>
          </w:tcPr>
          <w:p w14:paraId="7424230C" w14:textId="77777777" w:rsidR="00E72CA9" w:rsidRDefault="00D516E3">
            <w:pPr>
              <w:rPr>
                <w:color w:val="000000"/>
              </w:rPr>
            </w:pPr>
            <w:r>
              <w:rPr>
                <w:color w:val="000000"/>
              </w:rPr>
              <w:t>N/A</w:t>
            </w:r>
          </w:p>
        </w:tc>
        <w:tc>
          <w:tcPr>
            <w:tcW w:w="794" w:type="dxa"/>
            <w:tcMar>
              <w:left w:w="28" w:type="dxa"/>
              <w:right w:w="28" w:type="dxa"/>
            </w:tcMar>
            <w:vAlign w:val="bottom"/>
          </w:tcPr>
          <w:p w14:paraId="29617F4B" w14:textId="77777777" w:rsidR="00E72CA9" w:rsidRDefault="00D516E3">
            <w:pPr>
              <w:rPr>
                <w:color w:val="000000"/>
              </w:rPr>
            </w:pPr>
            <w:r>
              <w:rPr>
                <w:color w:val="000000"/>
              </w:rPr>
              <w:t>75</w:t>
            </w:r>
          </w:p>
        </w:tc>
        <w:tc>
          <w:tcPr>
            <w:tcW w:w="794" w:type="dxa"/>
            <w:tcMar>
              <w:left w:w="28" w:type="dxa"/>
              <w:right w:w="28" w:type="dxa"/>
            </w:tcMar>
            <w:vAlign w:val="bottom"/>
          </w:tcPr>
          <w:p w14:paraId="1C5D2482" w14:textId="77777777" w:rsidR="00E72CA9" w:rsidRDefault="00D516E3">
            <w:pPr>
              <w:rPr>
                <w:color w:val="000000"/>
              </w:rPr>
            </w:pPr>
            <w:r>
              <w:rPr>
                <w:color w:val="000000"/>
              </w:rPr>
              <w:t>75</w:t>
            </w:r>
          </w:p>
        </w:tc>
        <w:tc>
          <w:tcPr>
            <w:tcW w:w="794" w:type="dxa"/>
            <w:tcMar>
              <w:left w:w="28" w:type="dxa"/>
              <w:right w:w="28" w:type="dxa"/>
            </w:tcMar>
            <w:vAlign w:val="bottom"/>
          </w:tcPr>
          <w:p w14:paraId="3C4E54E9" w14:textId="77777777" w:rsidR="00E72CA9" w:rsidRDefault="00D516E3">
            <w:pPr>
              <w:rPr>
                <w:color w:val="000000"/>
              </w:rPr>
            </w:pPr>
            <w:r>
              <w:rPr>
                <w:color w:val="000000"/>
              </w:rPr>
              <w:t>80</w:t>
            </w:r>
          </w:p>
        </w:tc>
        <w:tc>
          <w:tcPr>
            <w:tcW w:w="1276" w:type="dxa"/>
            <w:tcMar>
              <w:left w:w="28" w:type="dxa"/>
              <w:right w:w="28" w:type="dxa"/>
            </w:tcMar>
            <w:vAlign w:val="bottom"/>
          </w:tcPr>
          <w:p w14:paraId="241C45A3"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6BA853A1" w14:textId="77777777" w:rsidR="00E72CA9" w:rsidRDefault="00D516E3">
            <w:pPr>
              <w:rPr>
                <w:color w:val="000000"/>
              </w:rPr>
            </w:pPr>
            <w:r>
              <w:rPr>
                <w:color w:val="000000"/>
              </w:rPr>
              <w:t>3.00 Al +0.1Cu</w:t>
            </w:r>
          </w:p>
        </w:tc>
      </w:tr>
      <w:tr w:rsidR="00E72CA9" w14:paraId="6BBE7ED9" w14:textId="77777777">
        <w:tc>
          <w:tcPr>
            <w:tcW w:w="0" w:type="auto"/>
            <w:tcMar>
              <w:left w:w="0" w:type="dxa"/>
              <w:right w:w="0" w:type="dxa"/>
            </w:tcMar>
            <w:vAlign w:val="bottom"/>
          </w:tcPr>
          <w:p w14:paraId="343B9E65" w14:textId="77777777" w:rsidR="00E72CA9" w:rsidRDefault="00D516E3">
            <w:pPr>
              <w:rPr>
                <w:color w:val="000000"/>
              </w:rPr>
            </w:pPr>
            <w:r>
              <w:rPr>
                <w:color w:val="000000"/>
              </w:rPr>
              <w:t>Scoliosis Lat</w:t>
            </w:r>
          </w:p>
        </w:tc>
        <w:tc>
          <w:tcPr>
            <w:tcW w:w="794" w:type="dxa"/>
            <w:tcMar>
              <w:left w:w="28" w:type="dxa"/>
              <w:right w:w="28" w:type="dxa"/>
            </w:tcMar>
            <w:vAlign w:val="bottom"/>
          </w:tcPr>
          <w:p w14:paraId="6E3847C7" w14:textId="77777777" w:rsidR="00E72CA9" w:rsidRDefault="00D516E3">
            <w:pPr>
              <w:rPr>
                <w:color w:val="000000"/>
              </w:rPr>
            </w:pPr>
            <w:r>
              <w:rPr>
                <w:color w:val="000000"/>
              </w:rPr>
              <w:t>65</w:t>
            </w:r>
          </w:p>
        </w:tc>
        <w:tc>
          <w:tcPr>
            <w:tcW w:w="794" w:type="dxa"/>
            <w:tcMar>
              <w:left w:w="28" w:type="dxa"/>
              <w:right w:w="28" w:type="dxa"/>
            </w:tcMar>
            <w:vAlign w:val="bottom"/>
          </w:tcPr>
          <w:p w14:paraId="00269B40" w14:textId="77777777" w:rsidR="00E72CA9" w:rsidRDefault="00D516E3">
            <w:pPr>
              <w:rPr>
                <w:color w:val="000000"/>
              </w:rPr>
            </w:pPr>
            <w:r>
              <w:rPr>
                <w:color w:val="000000"/>
              </w:rPr>
              <w:t>70</w:t>
            </w:r>
          </w:p>
        </w:tc>
        <w:tc>
          <w:tcPr>
            <w:tcW w:w="794" w:type="dxa"/>
            <w:tcMar>
              <w:left w:w="28" w:type="dxa"/>
              <w:right w:w="28" w:type="dxa"/>
            </w:tcMar>
            <w:vAlign w:val="bottom"/>
          </w:tcPr>
          <w:p w14:paraId="641EA6C3" w14:textId="77777777" w:rsidR="00E72CA9" w:rsidRDefault="00D516E3">
            <w:pPr>
              <w:rPr>
                <w:color w:val="000000"/>
              </w:rPr>
            </w:pPr>
            <w:r>
              <w:rPr>
                <w:color w:val="000000"/>
              </w:rPr>
              <w:t>76</w:t>
            </w:r>
          </w:p>
        </w:tc>
        <w:tc>
          <w:tcPr>
            <w:tcW w:w="794" w:type="dxa"/>
            <w:tcMar>
              <w:left w:w="28" w:type="dxa"/>
              <w:right w:w="28" w:type="dxa"/>
            </w:tcMar>
            <w:vAlign w:val="bottom"/>
          </w:tcPr>
          <w:p w14:paraId="06F06FBF" w14:textId="77777777" w:rsidR="00E72CA9" w:rsidRDefault="00D516E3">
            <w:pPr>
              <w:rPr>
                <w:color w:val="000000"/>
              </w:rPr>
            </w:pPr>
            <w:r>
              <w:rPr>
                <w:color w:val="000000"/>
              </w:rPr>
              <w:t>80</w:t>
            </w:r>
          </w:p>
        </w:tc>
        <w:tc>
          <w:tcPr>
            <w:tcW w:w="794" w:type="dxa"/>
            <w:tcMar>
              <w:left w:w="28" w:type="dxa"/>
              <w:right w:w="28" w:type="dxa"/>
            </w:tcMar>
            <w:vAlign w:val="bottom"/>
          </w:tcPr>
          <w:p w14:paraId="50FB9946" w14:textId="77777777" w:rsidR="00E72CA9" w:rsidRDefault="00D516E3">
            <w:pPr>
              <w:rPr>
                <w:color w:val="000000"/>
              </w:rPr>
            </w:pPr>
            <w:r>
              <w:rPr>
                <w:color w:val="000000"/>
              </w:rPr>
              <w:t>85</w:t>
            </w:r>
          </w:p>
        </w:tc>
        <w:tc>
          <w:tcPr>
            <w:tcW w:w="1276" w:type="dxa"/>
            <w:tcMar>
              <w:left w:w="28" w:type="dxa"/>
              <w:right w:w="28" w:type="dxa"/>
            </w:tcMar>
            <w:vAlign w:val="bottom"/>
          </w:tcPr>
          <w:p w14:paraId="5F33F6AF"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678B72C3" w14:textId="77777777" w:rsidR="00E72CA9" w:rsidRDefault="00D516E3">
            <w:pPr>
              <w:rPr>
                <w:color w:val="000000"/>
              </w:rPr>
            </w:pPr>
            <w:r>
              <w:rPr>
                <w:color w:val="000000"/>
              </w:rPr>
              <w:t>3.00 Al +0.1Cu</w:t>
            </w:r>
          </w:p>
        </w:tc>
      </w:tr>
      <w:tr w:rsidR="00E72CA9" w14:paraId="6BE4E23B" w14:textId="77777777">
        <w:tc>
          <w:tcPr>
            <w:tcW w:w="0" w:type="auto"/>
            <w:tcMar>
              <w:left w:w="0" w:type="dxa"/>
              <w:right w:w="0" w:type="dxa"/>
            </w:tcMar>
            <w:vAlign w:val="bottom"/>
          </w:tcPr>
          <w:p w14:paraId="06154D23" w14:textId="77777777" w:rsidR="00E72CA9" w:rsidRDefault="00D516E3">
            <w:pPr>
              <w:rPr>
                <w:color w:val="000000"/>
              </w:rPr>
            </w:pPr>
            <w:r>
              <w:rPr>
                <w:color w:val="000000"/>
              </w:rPr>
              <w:t>Skull AP</w:t>
            </w:r>
          </w:p>
        </w:tc>
        <w:tc>
          <w:tcPr>
            <w:tcW w:w="794" w:type="dxa"/>
            <w:tcMar>
              <w:left w:w="28" w:type="dxa"/>
              <w:right w:w="28" w:type="dxa"/>
            </w:tcMar>
            <w:vAlign w:val="bottom"/>
          </w:tcPr>
          <w:p w14:paraId="7A3CE664" w14:textId="77777777" w:rsidR="00E72CA9" w:rsidRDefault="00D516E3">
            <w:pPr>
              <w:rPr>
                <w:color w:val="000000"/>
              </w:rPr>
            </w:pPr>
            <w:r>
              <w:rPr>
                <w:color w:val="000000"/>
              </w:rPr>
              <w:t>70</w:t>
            </w:r>
          </w:p>
        </w:tc>
        <w:tc>
          <w:tcPr>
            <w:tcW w:w="794" w:type="dxa"/>
            <w:tcMar>
              <w:left w:w="28" w:type="dxa"/>
              <w:right w:w="28" w:type="dxa"/>
            </w:tcMar>
            <w:vAlign w:val="bottom"/>
          </w:tcPr>
          <w:p w14:paraId="0D5F90C1" w14:textId="77777777" w:rsidR="00E72CA9" w:rsidRDefault="00D516E3">
            <w:pPr>
              <w:rPr>
                <w:color w:val="000000"/>
              </w:rPr>
            </w:pPr>
            <w:r>
              <w:rPr>
                <w:color w:val="000000"/>
              </w:rPr>
              <w:t>70</w:t>
            </w:r>
          </w:p>
        </w:tc>
        <w:tc>
          <w:tcPr>
            <w:tcW w:w="794" w:type="dxa"/>
            <w:tcMar>
              <w:left w:w="28" w:type="dxa"/>
              <w:right w:w="28" w:type="dxa"/>
            </w:tcMar>
            <w:vAlign w:val="bottom"/>
          </w:tcPr>
          <w:p w14:paraId="2640EA7F" w14:textId="77777777" w:rsidR="00E72CA9" w:rsidRDefault="00D516E3">
            <w:pPr>
              <w:rPr>
                <w:color w:val="000000"/>
              </w:rPr>
            </w:pPr>
            <w:r>
              <w:rPr>
                <w:color w:val="000000"/>
              </w:rPr>
              <w:t>75</w:t>
            </w:r>
          </w:p>
        </w:tc>
        <w:tc>
          <w:tcPr>
            <w:tcW w:w="794" w:type="dxa"/>
            <w:tcMar>
              <w:left w:w="28" w:type="dxa"/>
              <w:right w:w="28" w:type="dxa"/>
            </w:tcMar>
            <w:vAlign w:val="bottom"/>
          </w:tcPr>
          <w:p w14:paraId="2370CE53" w14:textId="77777777" w:rsidR="00E72CA9" w:rsidRDefault="00D516E3">
            <w:pPr>
              <w:rPr>
                <w:color w:val="000000"/>
              </w:rPr>
            </w:pPr>
            <w:r>
              <w:rPr>
                <w:color w:val="000000"/>
              </w:rPr>
              <w:t>75</w:t>
            </w:r>
          </w:p>
        </w:tc>
        <w:tc>
          <w:tcPr>
            <w:tcW w:w="794" w:type="dxa"/>
            <w:tcMar>
              <w:left w:w="28" w:type="dxa"/>
              <w:right w:w="28" w:type="dxa"/>
            </w:tcMar>
            <w:vAlign w:val="bottom"/>
          </w:tcPr>
          <w:p w14:paraId="39A804DE" w14:textId="77777777" w:rsidR="00E72CA9" w:rsidRDefault="00D516E3">
            <w:pPr>
              <w:rPr>
                <w:color w:val="000000"/>
              </w:rPr>
            </w:pPr>
            <w:r>
              <w:rPr>
                <w:color w:val="000000"/>
              </w:rPr>
              <w:t>75</w:t>
            </w:r>
          </w:p>
        </w:tc>
        <w:tc>
          <w:tcPr>
            <w:tcW w:w="1276" w:type="dxa"/>
            <w:tcMar>
              <w:left w:w="28" w:type="dxa"/>
              <w:right w:w="28" w:type="dxa"/>
            </w:tcMar>
            <w:vAlign w:val="bottom"/>
          </w:tcPr>
          <w:p w14:paraId="7DCF93C2"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1F6474E3" w14:textId="77777777" w:rsidR="00E72CA9" w:rsidRDefault="00D516E3">
            <w:pPr>
              <w:rPr>
                <w:color w:val="000000"/>
              </w:rPr>
            </w:pPr>
            <w:r>
              <w:rPr>
                <w:color w:val="000000"/>
              </w:rPr>
              <w:t>3.00 Al +0.1Cu</w:t>
            </w:r>
          </w:p>
        </w:tc>
      </w:tr>
      <w:tr w:rsidR="00E72CA9" w14:paraId="3B9AC8F2" w14:textId="77777777">
        <w:tc>
          <w:tcPr>
            <w:tcW w:w="0" w:type="auto"/>
            <w:tcMar>
              <w:left w:w="0" w:type="dxa"/>
              <w:right w:w="0" w:type="dxa"/>
            </w:tcMar>
            <w:vAlign w:val="bottom"/>
          </w:tcPr>
          <w:p w14:paraId="46C7F35C" w14:textId="77777777" w:rsidR="00E72CA9" w:rsidRDefault="00D516E3">
            <w:pPr>
              <w:rPr>
                <w:color w:val="000000"/>
              </w:rPr>
            </w:pPr>
            <w:r>
              <w:rPr>
                <w:color w:val="000000"/>
              </w:rPr>
              <w:t>Skull PA</w:t>
            </w:r>
          </w:p>
        </w:tc>
        <w:tc>
          <w:tcPr>
            <w:tcW w:w="794" w:type="dxa"/>
            <w:tcMar>
              <w:left w:w="28" w:type="dxa"/>
              <w:right w:w="28" w:type="dxa"/>
            </w:tcMar>
            <w:vAlign w:val="bottom"/>
          </w:tcPr>
          <w:p w14:paraId="7FCFE90F" w14:textId="77777777" w:rsidR="00E72CA9" w:rsidRDefault="00D516E3">
            <w:pPr>
              <w:rPr>
                <w:color w:val="000000"/>
              </w:rPr>
            </w:pPr>
            <w:r>
              <w:rPr>
                <w:color w:val="000000"/>
              </w:rPr>
              <w:t>70</w:t>
            </w:r>
          </w:p>
        </w:tc>
        <w:tc>
          <w:tcPr>
            <w:tcW w:w="794" w:type="dxa"/>
            <w:tcMar>
              <w:left w:w="28" w:type="dxa"/>
              <w:right w:w="28" w:type="dxa"/>
            </w:tcMar>
            <w:vAlign w:val="bottom"/>
          </w:tcPr>
          <w:p w14:paraId="662CE014" w14:textId="77777777" w:rsidR="00E72CA9" w:rsidRDefault="00D516E3">
            <w:pPr>
              <w:rPr>
                <w:color w:val="000000"/>
              </w:rPr>
            </w:pPr>
            <w:r>
              <w:rPr>
                <w:color w:val="000000"/>
              </w:rPr>
              <w:t>70</w:t>
            </w:r>
          </w:p>
        </w:tc>
        <w:tc>
          <w:tcPr>
            <w:tcW w:w="794" w:type="dxa"/>
            <w:tcMar>
              <w:left w:w="28" w:type="dxa"/>
              <w:right w:w="28" w:type="dxa"/>
            </w:tcMar>
            <w:vAlign w:val="bottom"/>
          </w:tcPr>
          <w:p w14:paraId="629D5460" w14:textId="77777777" w:rsidR="00E72CA9" w:rsidRDefault="00D516E3">
            <w:pPr>
              <w:rPr>
                <w:color w:val="000000"/>
              </w:rPr>
            </w:pPr>
            <w:r>
              <w:rPr>
                <w:color w:val="000000"/>
              </w:rPr>
              <w:t>75</w:t>
            </w:r>
          </w:p>
        </w:tc>
        <w:tc>
          <w:tcPr>
            <w:tcW w:w="794" w:type="dxa"/>
            <w:tcMar>
              <w:left w:w="28" w:type="dxa"/>
              <w:right w:w="28" w:type="dxa"/>
            </w:tcMar>
            <w:vAlign w:val="bottom"/>
          </w:tcPr>
          <w:p w14:paraId="48BAE368" w14:textId="77777777" w:rsidR="00E72CA9" w:rsidRDefault="00D516E3">
            <w:pPr>
              <w:rPr>
                <w:color w:val="000000"/>
              </w:rPr>
            </w:pPr>
            <w:r>
              <w:rPr>
                <w:color w:val="000000"/>
              </w:rPr>
              <w:t>75</w:t>
            </w:r>
          </w:p>
        </w:tc>
        <w:tc>
          <w:tcPr>
            <w:tcW w:w="794" w:type="dxa"/>
            <w:tcMar>
              <w:left w:w="28" w:type="dxa"/>
              <w:right w:w="28" w:type="dxa"/>
            </w:tcMar>
            <w:vAlign w:val="bottom"/>
          </w:tcPr>
          <w:p w14:paraId="44B2E246" w14:textId="77777777" w:rsidR="00E72CA9" w:rsidRDefault="00D516E3">
            <w:pPr>
              <w:rPr>
                <w:color w:val="000000"/>
              </w:rPr>
            </w:pPr>
            <w:r>
              <w:rPr>
                <w:color w:val="000000"/>
              </w:rPr>
              <w:t>75</w:t>
            </w:r>
          </w:p>
        </w:tc>
        <w:tc>
          <w:tcPr>
            <w:tcW w:w="1276" w:type="dxa"/>
            <w:tcMar>
              <w:left w:w="28" w:type="dxa"/>
              <w:right w:w="28" w:type="dxa"/>
            </w:tcMar>
            <w:vAlign w:val="bottom"/>
          </w:tcPr>
          <w:p w14:paraId="1D9F7AF0"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0A3C050F" w14:textId="77777777" w:rsidR="00E72CA9" w:rsidRDefault="00D516E3">
            <w:pPr>
              <w:rPr>
                <w:color w:val="000000"/>
              </w:rPr>
            </w:pPr>
            <w:r>
              <w:rPr>
                <w:color w:val="000000"/>
              </w:rPr>
              <w:t>3.00 Al +0.1Cu</w:t>
            </w:r>
          </w:p>
        </w:tc>
      </w:tr>
      <w:tr w:rsidR="00E72CA9" w14:paraId="230CF559" w14:textId="77777777">
        <w:tc>
          <w:tcPr>
            <w:tcW w:w="0" w:type="auto"/>
            <w:tcMar>
              <w:left w:w="0" w:type="dxa"/>
              <w:right w:w="0" w:type="dxa"/>
            </w:tcMar>
            <w:vAlign w:val="bottom"/>
          </w:tcPr>
          <w:p w14:paraId="3C1BC41B" w14:textId="77777777" w:rsidR="00E72CA9" w:rsidRDefault="00D516E3">
            <w:pPr>
              <w:rPr>
                <w:color w:val="000000"/>
              </w:rPr>
            </w:pPr>
            <w:r>
              <w:rPr>
                <w:color w:val="000000"/>
              </w:rPr>
              <w:t>Skull Lat</w:t>
            </w:r>
          </w:p>
        </w:tc>
        <w:tc>
          <w:tcPr>
            <w:tcW w:w="794" w:type="dxa"/>
            <w:tcMar>
              <w:left w:w="28" w:type="dxa"/>
              <w:right w:w="28" w:type="dxa"/>
            </w:tcMar>
            <w:vAlign w:val="bottom"/>
          </w:tcPr>
          <w:p w14:paraId="103F11A2" w14:textId="77777777" w:rsidR="00E72CA9" w:rsidRDefault="00D516E3">
            <w:pPr>
              <w:rPr>
                <w:color w:val="000000"/>
              </w:rPr>
            </w:pPr>
            <w:r>
              <w:rPr>
                <w:color w:val="000000"/>
              </w:rPr>
              <w:t>70</w:t>
            </w:r>
          </w:p>
        </w:tc>
        <w:tc>
          <w:tcPr>
            <w:tcW w:w="794" w:type="dxa"/>
            <w:tcMar>
              <w:left w:w="28" w:type="dxa"/>
              <w:right w:w="28" w:type="dxa"/>
            </w:tcMar>
            <w:vAlign w:val="bottom"/>
          </w:tcPr>
          <w:p w14:paraId="5E9434D0" w14:textId="77777777" w:rsidR="00E72CA9" w:rsidRDefault="00D516E3">
            <w:pPr>
              <w:rPr>
                <w:color w:val="000000"/>
              </w:rPr>
            </w:pPr>
            <w:r>
              <w:rPr>
                <w:color w:val="000000"/>
              </w:rPr>
              <w:t>70</w:t>
            </w:r>
          </w:p>
        </w:tc>
        <w:tc>
          <w:tcPr>
            <w:tcW w:w="794" w:type="dxa"/>
            <w:tcMar>
              <w:left w:w="28" w:type="dxa"/>
              <w:right w:w="28" w:type="dxa"/>
            </w:tcMar>
            <w:vAlign w:val="bottom"/>
          </w:tcPr>
          <w:p w14:paraId="76BAFBE8" w14:textId="77777777" w:rsidR="00E72CA9" w:rsidRDefault="00D516E3">
            <w:pPr>
              <w:rPr>
                <w:color w:val="000000"/>
              </w:rPr>
            </w:pPr>
            <w:r>
              <w:rPr>
                <w:color w:val="000000"/>
              </w:rPr>
              <w:t>75</w:t>
            </w:r>
          </w:p>
        </w:tc>
        <w:tc>
          <w:tcPr>
            <w:tcW w:w="794" w:type="dxa"/>
            <w:tcMar>
              <w:left w:w="28" w:type="dxa"/>
              <w:right w:w="28" w:type="dxa"/>
            </w:tcMar>
            <w:vAlign w:val="bottom"/>
          </w:tcPr>
          <w:p w14:paraId="7E5EE625" w14:textId="77777777" w:rsidR="00E72CA9" w:rsidRDefault="00D516E3">
            <w:pPr>
              <w:rPr>
                <w:color w:val="000000"/>
              </w:rPr>
            </w:pPr>
            <w:r>
              <w:rPr>
                <w:color w:val="000000"/>
              </w:rPr>
              <w:t>75</w:t>
            </w:r>
          </w:p>
        </w:tc>
        <w:tc>
          <w:tcPr>
            <w:tcW w:w="794" w:type="dxa"/>
            <w:tcMar>
              <w:left w:w="28" w:type="dxa"/>
              <w:right w:w="28" w:type="dxa"/>
            </w:tcMar>
            <w:vAlign w:val="bottom"/>
          </w:tcPr>
          <w:p w14:paraId="19B004D1" w14:textId="77777777" w:rsidR="00E72CA9" w:rsidRDefault="00D516E3">
            <w:pPr>
              <w:rPr>
                <w:color w:val="000000"/>
              </w:rPr>
            </w:pPr>
            <w:r>
              <w:rPr>
                <w:color w:val="000000"/>
              </w:rPr>
              <w:t>75</w:t>
            </w:r>
          </w:p>
        </w:tc>
        <w:tc>
          <w:tcPr>
            <w:tcW w:w="1276" w:type="dxa"/>
            <w:tcMar>
              <w:left w:w="28" w:type="dxa"/>
              <w:right w:w="28" w:type="dxa"/>
            </w:tcMar>
            <w:vAlign w:val="bottom"/>
          </w:tcPr>
          <w:p w14:paraId="10B584A5" w14:textId="77777777" w:rsidR="00E72CA9" w:rsidRDefault="00D516E3">
            <w:pPr>
              <w:rPr>
                <w:lang w:val="de-DE" w:eastAsia="de-DE"/>
              </w:rPr>
            </w:pPr>
            <w:r>
              <w:rPr>
                <w:color w:val="000000"/>
              </w:rPr>
              <w:t>2.5, 3.0, 3.5</w:t>
            </w:r>
          </w:p>
        </w:tc>
        <w:tc>
          <w:tcPr>
            <w:tcW w:w="1559" w:type="dxa"/>
            <w:tcMar>
              <w:left w:w="28" w:type="dxa"/>
              <w:right w:w="28" w:type="dxa"/>
            </w:tcMar>
            <w:vAlign w:val="bottom"/>
          </w:tcPr>
          <w:p w14:paraId="1EAE62B1" w14:textId="77777777" w:rsidR="00E72CA9" w:rsidRDefault="00D516E3">
            <w:pPr>
              <w:rPr>
                <w:color w:val="000000"/>
              </w:rPr>
            </w:pPr>
            <w:r>
              <w:rPr>
                <w:color w:val="000000"/>
              </w:rPr>
              <w:t>3.00 Al +0.1Cu</w:t>
            </w:r>
          </w:p>
        </w:tc>
      </w:tr>
    </w:tbl>
    <w:bookmarkEnd w:id="93"/>
    <w:p w14:paraId="432D1107" w14:textId="77777777" w:rsidR="00E72CA9" w:rsidRDefault="00D516E3">
      <w:pPr>
        <w:pStyle w:val="Annalstext"/>
        <w:tabs>
          <w:tab w:val="clear" w:pos="502"/>
        </w:tabs>
        <w:ind w:left="0" w:firstLine="0"/>
        <w:rPr>
          <w:sz w:val="20"/>
        </w:rPr>
      </w:pPr>
      <w:r>
        <w:rPr>
          <w:sz w:val="20"/>
        </w:rPr>
        <w:t xml:space="preserve">00MF, newborn male and female; 01MF, 1-year-old male and female; 05MF. 5-year-old male and female; 10MF, 10-year-old male and female; 15MF, 15-year-old male and female; PA, posterior-anterior; AP, anterior-posterior; Lat, lateral; N/A, not applicable. </w:t>
      </w:r>
    </w:p>
    <w:p w14:paraId="32F30E23" w14:textId="77777777" w:rsidR="00E72CA9" w:rsidRDefault="00E72CA9">
      <w:pPr>
        <w:pStyle w:val="Annalstext"/>
        <w:tabs>
          <w:tab w:val="clear" w:pos="502"/>
        </w:tabs>
        <w:ind w:left="284" w:firstLine="0"/>
      </w:pPr>
    </w:p>
    <w:p w14:paraId="31723154" w14:textId="77777777" w:rsidR="00E72CA9" w:rsidRDefault="00D516E3">
      <w:pPr>
        <w:pStyle w:val="ICRPnumberedparagraph"/>
        <w:ind w:left="0"/>
        <w:rPr>
          <w:i/>
        </w:rPr>
      </w:pPr>
      <w:r>
        <w:t xml:space="preserve">These spectra have been generated using the software SpekCalc </w:t>
      </w:r>
      <w:r>
        <w:fldChar w:fldCharType="begin">
          <w:fldData xml:space="preserve">PEVuZE5vdGU+PENpdGU+PEF1dGhvcj5Qb2x1ZG5pb3dza2k8L0F1dGhvcj48WWVhcj4yMDA3PC9Z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</w:fldData>
        </w:fldChar>
      </w:r>
      <w:r>
        <w:instrText xml:space="preserve"> ADDIN EN.CITE </w:instrText>
      </w:r>
      <w:r>
        <w:fldChar w:fldCharType="begin">
          <w:fldData xml:space="preserve">PEVuZE5vdGU+PENpdGU+PEF1dGhvcj5Qb2x1ZG5pb3dza2k8L0F1dGhvcj48WWVhcj4yMDA3PC9Z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</w:fldData>
        </w:fldChar>
      </w:r>
      <w:r>
        <w:instrText xml:space="preserve"> ADDIN EN.CITE.DATA </w:instrText>
      </w:r>
      <w:r>
        <w:fldChar w:fldCharType="end"/>
      </w:r>
      <w:r>
        <w:fldChar w:fldCharType="separate"/>
      </w:r>
      <w:r>
        <w:rPr>
          <w:noProof/>
        </w:rPr>
        <w:t>(Poludniowski, 2007; Poludniowski and Evans, 2007; Poludniowski et al., 2009)</w:t>
      </w:r>
      <w:r>
        <w:fldChar w:fldCharType="end"/>
      </w:r>
      <w:r>
        <w:t xml:space="preserve">. SpekCalc is a software program based on theoretical bremsstrahlung cross sections and has been developed for the calculation of x-ray spectra from tungsten anode x-ray tubes, primarily for medical applications. The software simulates the x-ray source as a point source and models a wide range of tube potentials (40–300 kV) and anode angles. The heel effect is not </w:t>
      </w:r>
      <w:proofErr w:type="gramStart"/>
      <w:r>
        <w:t>taken into account</w:t>
      </w:r>
      <w:proofErr w:type="gramEnd"/>
      <w:r>
        <w:t>; the implications are discussed in Section 6.3.2</w:t>
      </w:r>
      <w:r>
        <w:rPr>
          <w:i/>
        </w:rPr>
        <w:t xml:space="preserve">. </w:t>
      </w:r>
      <w:r>
        <w:t>Filtration can be applied for seven materials (air, water, Be, Al, Cu, Sn and W). For all spectra considered, an anode angle of 13 degrees has been employed, as well as vacuum as the medium.</w:t>
      </w:r>
    </w:p>
    <w:p w14:paraId="04DB2A7A" w14:textId="77777777" w:rsidR="00E72CA9" w:rsidRDefault="00D516E3">
      <w:pPr>
        <w:pStyle w:val="Annalstext"/>
        <w:numPr>
          <w:ilvl w:val="0"/>
          <w:numId w:val="1"/>
        </w:numPr>
        <w:tabs>
          <w:tab w:val="num" w:pos="786"/>
        </w:tabs>
        <w:ind w:left="0"/>
        <w:rPr>
          <w:szCs w:val="24"/>
        </w:rPr>
      </w:pPr>
      <w:r>
        <w:rPr>
          <w:szCs w:val="24"/>
        </w:rPr>
        <w:lastRenderedPageBreak/>
        <w:t>To derive the dose coefficients (</w:t>
      </w:r>
      <w:r>
        <w:rPr>
          <w:i/>
          <w:iCs/>
          <w:szCs w:val="24"/>
        </w:rPr>
        <w:t>D</w:t>
      </w:r>
      <w:r>
        <w:rPr>
          <w:szCs w:val="24"/>
        </w:rPr>
        <w:t>/</w:t>
      </w:r>
      <w:r>
        <w:rPr>
          <w:i/>
          <w:iCs/>
          <w:szCs w:val="24"/>
        </w:rPr>
        <w:t>K</w:t>
      </w:r>
      <w:r>
        <w:rPr>
          <w:szCs w:val="24"/>
          <w:vertAlign w:val="subscript"/>
        </w:rPr>
        <w:t>A</w:t>
      </w:r>
      <w:r>
        <w:rPr>
          <w:szCs w:val="24"/>
        </w:rPr>
        <w:t>)</w:t>
      </w:r>
      <w:r>
        <w:rPr>
          <w:szCs w:val="24"/>
          <w:vertAlign w:val="subscript"/>
        </w:rPr>
        <w:t>S</w:t>
      </w:r>
      <w:r>
        <w:rPr>
          <w:szCs w:val="24"/>
        </w:rPr>
        <w:t xml:space="preserve"> for each of the example x-ray spectra</w:t>
      </w:r>
      <w:r>
        <w:rPr>
          <w:i/>
          <w:szCs w:val="24"/>
        </w:rPr>
        <w:t xml:space="preserve"> S</w:t>
      </w:r>
      <w:r>
        <w:rPr>
          <w:szCs w:val="24"/>
        </w:rPr>
        <w:t xml:space="preserve">, the monoenergetic dose coefficients were convolved with the specified spectra. Since air kerma per fluence, </w:t>
      </w:r>
      <w:r>
        <w:rPr>
          <w:i/>
          <w:iCs/>
          <w:szCs w:val="24"/>
        </w:rPr>
        <w:t>K</w:t>
      </w:r>
      <w:r>
        <w:rPr>
          <w:szCs w:val="24"/>
          <w:vertAlign w:val="subscript"/>
        </w:rPr>
        <w:t>A</w:t>
      </w:r>
      <w:r>
        <w:rPr>
          <w:szCs w:val="24"/>
        </w:rPr>
        <w:t>/</w:t>
      </w:r>
      <w:r>
        <w:rPr>
          <w:i/>
          <w:iCs/>
          <w:szCs w:val="24"/>
        </w:rPr>
        <w:t>ϕ</w:t>
      </w:r>
      <w:r>
        <w:rPr>
          <w:szCs w:val="24"/>
        </w:rPr>
        <w:t xml:space="preserve">, is energy-dependent, it has to be summed up fluence-wise, as do the organ absorbed dose coefficients. The fluence-weighted sum of the organ absorbed dose coefficients per fluence, </w:t>
      </w:r>
      <w:r>
        <w:rPr>
          <w:i/>
          <w:iCs/>
          <w:szCs w:val="24"/>
        </w:rPr>
        <w:t>D</w:t>
      </w:r>
      <w:r>
        <w:rPr>
          <w:szCs w:val="24"/>
        </w:rPr>
        <w:t>/</w:t>
      </w:r>
      <w:r>
        <w:rPr>
          <w:i/>
          <w:iCs/>
          <w:szCs w:val="24"/>
        </w:rPr>
        <w:t>ϕ</w:t>
      </w:r>
      <w:r>
        <w:rPr>
          <w:szCs w:val="24"/>
        </w:rPr>
        <w:t xml:space="preserve">, is then divided by the fluence-weighted sum of the air kerma coefficients per fluence, </w:t>
      </w:r>
      <w:r>
        <w:rPr>
          <w:i/>
          <w:iCs/>
          <w:szCs w:val="24"/>
        </w:rPr>
        <w:t>K</w:t>
      </w:r>
      <w:r>
        <w:rPr>
          <w:szCs w:val="24"/>
          <w:vertAlign w:val="subscript"/>
        </w:rPr>
        <w:t>A</w:t>
      </w:r>
      <w:r>
        <w:rPr>
          <w:szCs w:val="24"/>
        </w:rPr>
        <w:t>/</w:t>
      </w:r>
      <w:r>
        <w:rPr>
          <w:i/>
          <w:iCs/>
          <w:szCs w:val="24"/>
        </w:rPr>
        <w:t>ϕ</w:t>
      </w:r>
      <w:r>
        <w:rPr>
          <w:szCs w:val="24"/>
        </w:rPr>
        <w:t xml:space="preserve">, resulting in an overall coefficient of organ absorbed dose per air kerma. This is described mathematically in Eq. 5.1 where </w:t>
      </w:r>
      <m:oMath>
        <m:sSub>
          <m:sSubPr>
            <m:ctrlPr>
              <w:rPr>
                <w:rFonts w:ascii="Cambria Math" w:hAnsi="Cambria Math"/>
                <w:i/>
                <w:szCs w:val="24"/>
              </w:rPr>
            </m:ctrlPr>
          </m:sSubPr>
          <m:e>
            <m:r>
              <w:rPr>
                <w:rFonts w:ascii="Cambria Math" w:hAnsi="Cambria Math"/>
                <w:szCs w:val="24"/>
              </w:rPr>
              <m:t>ϕ</m:t>
            </m:r>
          </m:e>
          <m:sub>
            <m:r>
              <m:rPr>
                <m:sty m:val="p"/>
              </m:rPr>
              <w:rPr>
                <w:rFonts w:ascii="Cambria Math" w:hAnsi="Cambria Math"/>
                <w:szCs w:val="24"/>
              </w:rPr>
              <m:t>S</m:t>
            </m:r>
          </m:sub>
        </m:sSub>
        <m:r>
          <w:rPr>
            <w:rFonts w:ascii="Cambria Math" w:hAnsi="Cambria Math"/>
            <w:szCs w:val="24"/>
          </w:rPr>
          <m:t>(E)</m:t>
        </m:r>
      </m:oMath>
      <w:r>
        <w:rPr>
          <w:szCs w:val="24"/>
        </w:rPr>
        <w:t xml:space="preserve"> denotes the fluence of the spectrum </w:t>
      </w:r>
      <w:r>
        <w:rPr>
          <w:i/>
          <w:szCs w:val="24"/>
        </w:rPr>
        <w:t>S</w:t>
      </w:r>
      <w:r>
        <w:rPr>
          <w:szCs w:val="24"/>
        </w:rPr>
        <w:t xml:space="preserve"> at the energy </w:t>
      </w:r>
      <m:oMath>
        <m:r>
          <w:rPr>
            <w:rFonts w:ascii="Cambria Math" w:hAnsi="Cambria Math"/>
            <w:szCs w:val="24"/>
          </w:rPr>
          <m:t>E</m:t>
        </m:r>
      </m:oMath>
      <w:r>
        <w:rPr>
          <w:szCs w:val="24"/>
        </w:rPr>
        <w:t>. For further details see section 6.2.</w:t>
      </w:r>
    </w:p>
    <w:p w14:paraId="66F93E52" w14:textId="77777777" w:rsidR="00E72CA9" w:rsidRDefault="00D516E3">
      <w:pPr>
        <w:pStyle w:val="Annalstext"/>
        <w:tabs>
          <w:tab w:val="clear" w:pos="502"/>
          <w:tab w:val="clear" w:pos="644"/>
          <w:tab w:val="num" w:pos="786"/>
        </w:tabs>
        <w:ind w:left="2127" w:firstLine="0"/>
        <w:jc w:val="right"/>
        <w:rPr>
          <w:rFonts w:ascii="Courier New" w:hAnsi="Courier New" w:cs="Courier New"/>
          <w:sz w:val="28"/>
          <w:szCs w:val="28"/>
        </w:rPr>
      </w:pPr>
      <w:bookmarkStart w:id="95" w:name="_Hlk165017979"/>
      <w:r>
        <w:t xml:space="preserve">    </w:t>
      </w:r>
      <w:r>
        <w:rPr>
          <w:rFonts w:ascii="Cambria Math" w:hAnsi="Cambria Math"/>
          <w:i/>
        </w:rPr>
        <w:br/>
      </w:r>
      <m:oMath>
        <m:sSub>
          <m:sSubPr>
            <m:ctrlPr>
              <w:rPr>
                <w:rFonts w:ascii="Cambria Math" w:hAnsi="Cambria Math" w:cs="Courier New"/>
                <w:i/>
                <w:sz w:val="28"/>
                <w:szCs w:val="28"/>
              </w:rPr>
            </m:ctrlPr>
          </m:sSubPr>
          <m:e>
            <m:d>
              <m:dPr>
                <m:ctrlPr>
                  <w:rPr>
                    <w:rFonts w:ascii="Cambria Math" w:hAnsi="Cambria Math" w:cs="Courier New"/>
                    <w:i/>
                    <w:sz w:val="28"/>
                    <w:szCs w:val="28"/>
                  </w:rPr>
                </m:ctrlPr>
              </m:dPr>
              <m:e>
                <m:f>
                  <m:fPr>
                    <m:ctrlPr>
                      <w:rPr>
                        <w:rFonts w:ascii="Cambria Math" w:hAnsi="Cambria Math" w:cs="Courier New"/>
                        <w:i/>
                        <w:sz w:val="28"/>
                        <w:szCs w:val="28"/>
                      </w:rPr>
                    </m:ctrlPr>
                  </m:fPr>
                  <m:num>
                    <m:sSub>
                      <m:sSubPr>
                        <m:ctrlPr>
                          <w:rPr>
                            <w:rFonts w:ascii="Cambria Math" w:hAnsi="Cambria Math" w:cs="Courier New"/>
                            <w:i/>
                            <w:sz w:val="28"/>
                            <w:szCs w:val="28"/>
                          </w:rPr>
                        </m:ctrlPr>
                      </m:sSubPr>
                      <m:e>
                        <m:r>
                          <w:rPr>
                            <w:rFonts w:ascii="Cambria Math" w:hAnsi="Cambria Math" w:cs="Courier New"/>
                            <w:sz w:val="28"/>
                            <w:szCs w:val="28"/>
                          </w:rPr>
                          <m:t>D</m:t>
                        </m:r>
                      </m:e>
                      <m:sub>
                        <m:r>
                          <m:rPr>
                            <m:sty m:val="p"/>
                          </m:rPr>
                          <w:rPr>
                            <w:rFonts w:ascii="Cambria Math" w:hAnsi="Cambria Math" w:cs="Courier New"/>
                            <w:sz w:val="28"/>
                            <w:szCs w:val="28"/>
                          </w:rPr>
                          <m:t>T</m:t>
                        </m:r>
                      </m:sub>
                    </m:sSub>
                  </m:num>
                  <m:den>
                    <m:sSub>
                      <m:sSubPr>
                        <m:ctrlPr>
                          <w:rPr>
                            <w:rFonts w:ascii="Cambria Math" w:hAnsi="Cambria Math" w:cs="Courier New"/>
                            <w:i/>
                            <w:sz w:val="28"/>
                            <w:szCs w:val="28"/>
                          </w:rPr>
                        </m:ctrlPr>
                      </m:sSubPr>
                      <m:e>
                        <m:r>
                          <w:rPr>
                            <w:rFonts w:ascii="Cambria Math" w:hAnsi="Cambria Math" w:cs="Courier New"/>
                            <w:sz w:val="28"/>
                            <w:szCs w:val="28"/>
                          </w:rPr>
                          <m:t>K</m:t>
                        </m:r>
                      </m:e>
                      <m:sub>
                        <m:r>
                          <m:rPr>
                            <m:sty m:val="p"/>
                          </m:rPr>
                          <w:rPr>
                            <w:rFonts w:ascii="Cambria Math" w:hAnsi="Cambria Math" w:cs="Courier New"/>
                            <w:sz w:val="28"/>
                            <w:szCs w:val="28"/>
                          </w:rPr>
                          <m:t>A</m:t>
                        </m:r>
                      </m:sub>
                    </m:sSub>
                  </m:den>
                </m:f>
              </m:e>
            </m:d>
          </m:e>
          <m:sub>
            <m:r>
              <m:rPr>
                <m:sty m:val="p"/>
              </m:rPr>
              <w:rPr>
                <w:rFonts w:ascii="Cambria Math" w:hAnsi="Cambria Math" w:cs="Courier New"/>
                <w:sz w:val="28"/>
                <w:szCs w:val="28"/>
              </w:rPr>
              <m:t>S</m:t>
            </m:r>
          </m:sub>
        </m:sSub>
        <m:r>
          <w:rPr>
            <w:rFonts w:ascii="Cambria Math" w:hAnsi="Cambria Math" w:cs="Courier New"/>
            <w:sz w:val="28"/>
            <w:szCs w:val="28"/>
          </w:rPr>
          <m:t>=</m:t>
        </m:r>
        <m:f>
          <m:fPr>
            <m:ctrlPr>
              <w:rPr>
                <w:rFonts w:ascii="Cambria Math" w:hAnsi="Cambria Math" w:cs="Courier New"/>
                <w:i/>
                <w:sz w:val="28"/>
                <w:szCs w:val="28"/>
              </w:rPr>
            </m:ctrlPr>
          </m:fPr>
          <m:num>
            <m:nary>
              <m:naryPr>
                <m:limLoc m:val="undOvr"/>
                <m:subHide m:val="1"/>
                <m:supHide m:val="1"/>
                <m:ctrlPr>
                  <w:rPr>
                    <w:rFonts w:ascii="Cambria Math" w:hAnsi="Cambria Math" w:cs="Courier New"/>
                    <w:i/>
                    <w:sz w:val="28"/>
                    <w:szCs w:val="28"/>
                  </w:rPr>
                </m:ctrlPr>
              </m:naryPr>
              <m:sub/>
              <m:sup/>
              <m:e>
                <m:f>
                  <m:fPr>
                    <m:ctrlPr>
                      <w:rPr>
                        <w:rFonts w:ascii="Cambria Math" w:hAnsi="Cambria Math" w:cs="Courier New"/>
                        <w:i/>
                        <w:sz w:val="28"/>
                        <w:szCs w:val="28"/>
                      </w:rPr>
                    </m:ctrlPr>
                  </m:fPr>
                  <m:num>
                    <m:r>
                      <w:rPr>
                        <w:rFonts w:ascii="Cambria Math" w:hAnsi="Cambria Math" w:cs="Courier New"/>
                        <w:sz w:val="28"/>
                        <w:szCs w:val="28"/>
                      </w:rPr>
                      <m:t>D</m:t>
                    </m:r>
                  </m:num>
                  <m:den>
                    <m:r>
                      <w:rPr>
                        <w:rFonts w:ascii="Cambria Math" w:hAnsi="Cambria Math" w:cs="Courier New"/>
                        <w:sz w:val="28"/>
                        <w:szCs w:val="28"/>
                      </w:rPr>
                      <m:t>ϕ</m:t>
                    </m:r>
                  </m:den>
                </m:f>
                <m:d>
                  <m:dPr>
                    <m:ctrlPr>
                      <w:rPr>
                        <w:rFonts w:ascii="Cambria Math" w:hAnsi="Cambria Math" w:cs="Courier New"/>
                        <w:i/>
                        <w:sz w:val="28"/>
                        <w:szCs w:val="28"/>
                      </w:rPr>
                    </m:ctrlPr>
                  </m:dPr>
                  <m:e>
                    <m:r>
                      <w:rPr>
                        <w:rFonts w:ascii="Cambria Math" w:hAnsi="Cambria Math" w:cs="Courier New"/>
                        <w:sz w:val="28"/>
                        <w:szCs w:val="28"/>
                      </w:rPr>
                      <m:t>E</m:t>
                    </m:r>
                  </m:e>
                </m:d>
                <m:r>
                  <w:rPr>
                    <w:rFonts w:ascii="Cambria Math" w:hAnsi="Cambria Math" w:cs="Courier New"/>
                    <w:sz w:val="28"/>
                    <w:szCs w:val="28"/>
                  </w:rPr>
                  <m:t xml:space="preserve"> </m:t>
                </m:r>
                <m:sSub>
                  <m:sSubPr>
                    <m:ctrlPr>
                      <w:rPr>
                        <w:rFonts w:ascii="Cambria Math" w:hAnsi="Cambria Math" w:cs="Courier New"/>
                        <w:i/>
                        <w:sz w:val="28"/>
                        <w:szCs w:val="28"/>
                      </w:rPr>
                    </m:ctrlPr>
                  </m:sSubPr>
                  <m:e>
                    <m:r>
                      <w:rPr>
                        <w:rFonts w:ascii="Cambria Math" w:hAnsi="Cambria Math" w:cs="Courier New"/>
                        <w:sz w:val="28"/>
                        <w:szCs w:val="28"/>
                      </w:rPr>
                      <m:t>ϕ</m:t>
                    </m:r>
                  </m:e>
                  <m:sub>
                    <m:r>
                      <m:rPr>
                        <m:sty m:val="p"/>
                      </m:rPr>
                      <w:rPr>
                        <w:rFonts w:ascii="Cambria Math" w:hAnsi="Cambria Math" w:cs="Courier New"/>
                        <w:sz w:val="28"/>
                        <w:szCs w:val="28"/>
                      </w:rPr>
                      <m:t>S</m:t>
                    </m:r>
                  </m:sub>
                </m:sSub>
                <m:d>
                  <m:dPr>
                    <m:ctrlPr>
                      <w:rPr>
                        <w:rFonts w:ascii="Cambria Math" w:hAnsi="Cambria Math" w:cs="Courier New"/>
                        <w:i/>
                        <w:sz w:val="28"/>
                        <w:szCs w:val="28"/>
                      </w:rPr>
                    </m:ctrlPr>
                  </m:dPr>
                  <m:e>
                    <m:r>
                      <w:rPr>
                        <w:rFonts w:ascii="Cambria Math" w:hAnsi="Cambria Math" w:cs="Courier New"/>
                        <w:sz w:val="28"/>
                        <w:szCs w:val="28"/>
                      </w:rPr>
                      <m:t>E</m:t>
                    </m:r>
                  </m:e>
                </m:d>
                <m:r>
                  <w:rPr>
                    <w:rFonts w:ascii="Cambria Math" w:hAnsi="Cambria Math" w:cs="Courier New"/>
                    <w:sz w:val="28"/>
                    <w:szCs w:val="28"/>
                  </w:rPr>
                  <m:t xml:space="preserve"> </m:t>
                </m:r>
                <m:r>
                  <m:rPr>
                    <m:sty m:val="p"/>
                  </m:rPr>
                  <w:rPr>
                    <w:rFonts w:ascii="Cambria Math" w:hAnsi="Cambria Math" w:cs="Courier New"/>
                    <w:sz w:val="28"/>
                    <w:szCs w:val="28"/>
                  </w:rPr>
                  <m:t>d</m:t>
                </m:r>
                <m:r>
                  <w:rPr>
                    <w:rFonts w:ascii="Cambria Math" w:hAnsi="Cambria Math" w:cs="Courier New"/>
                    <w:sz w:val="28"/>
                    <w:szCs w:val="28"/>
                  </w:rPr>
                  <m:t>E</m:t>
                </m:r>
              </m:e>
            </m:nary>
          </m:num>
          <m:den>
            <m:nary>
              <m:naryPr>
                <m:limLoc m:val="undOvr"/>
                <m:subHide m:val="1"/>
                <m:supHide m:val="1"/>
                <m:ctrlPr>
                  <w:rPr>
                    <w:rFonts w:ascii="Cambria Math" w:hAnsi="Cambria Math" w:cs="Courier New"/>
                    <w:i/>
                    <w:sz w:val="28"/>
                    <w:szCs w:val="28"/>
                  </w:rPr>
                </m:ctrlPr>
              </m:naryPr>
              <m:sub/>
              <m:sup/>
              <m:e>
                <m:f>
                  <m:fPr>
                    <m:ctrlPr>
                      <w:rPr>
                        <w:rFonts w:ascii="Cambria Math" w:hAnsi="Cambria Math" w:cs="Courier New"/>
                        <w:i/>
                        <w:sz w:val="28"/>
                        <w:szCs w:val="28"/>
                      </w:rPr>
                    </m:ctrlPr>
                  </m:fPr>
                  <m:num>
                    <m:sSub>
                      <m:sSubPr>
                        <m:ctrlPr>
                          <w:rPr>
                            <w:rFonts w:ascii="Cambria Math" w:hAnsi="Cambria Math" w:cs="Courier New"/>
                            <w:i/>
                            <w:sz w:val="28"/>
                            <w:szCs w:val="28"/>
                          </w:rPr>
                        </m:ctrlPr>
                      </m:sSubPr>
                      <m:e>
                        <m:r>
                          <w:rPr>
                            <w:rFonts w:ascii="Cambria Math" w:hAnsi="Cambria Math" w:cs="Courier New"/>
                            <w:sz w:val="28"/>
                            <w:szCs w:val="28"/>
                          </w:rPr>
                          <m:t>K</m:t>
                        </m:r>
                      </m:e>
                      <m:sub>
                        <m:r>
                          <w:rPr>
                            <w:rFonts w:ascii="Cambria Math" w:hAnsi="Cambria Math" w:cs="Courier New"/>
                            <w:sz w:val="28"/>
                            <w:szCs w:val="28"/>
                          </w:rPr>
                          <m:t>A</m:t>
                        </m:r>
                      </m:sub>
                    </m:sSub>
                  </m:num>
                  <m:den>
                    <m:r>
                      <w:rPr>
                        <w:rFonts w:ascii="Cambria Math" w:hAnsi="Cambria Math" w:cs="Courier New"/>
                        <w:sz w:val="28"/>
                        <w:szCs w:val="28"/>
                      </w:rPr>
                      <m:t>ϕ</m:t>
                    </m:r>
                  </m:den>
                </m:f>
                <m:d>
                  <m:dPr>
                    <m:ctrlPr>
                      <w:rPr>
                        <w:rFonts w:ascii="Cambria Math" w:hAnsi="Cambria Math" w:cs="Courier New"/>
                        <w:i/>
                        <w:sz w:val="28"/>
                        <w:szCs w:val="28"/>
                      </w:rPr>
                    </m:ctrlPr>
                  </m:dPr>
                  <m:e>
                    <m:r>
                      <w:rPr>
                        <w:rFonts w:ascii="Cambria Math" w:hAnsi="Cambria Math" w:cs="Courier New"/>
                        <w:sz w:val="28"/>
                        <w:szCs w:val="28"/>
                      </w:rPr>
                      <m:t>E</m:t>
                    </m:r>
                  </m:e>
                </m:d>
                <m:r>
                  <w:rPr>
                    <w:rFonts w:ascii="Cambria Math" w:hAnsi="Cambria Math" w:cs="Courier New"/>
                    <w:sz w:val="28"/>
                    <w:szCs w:val="28"/>
                  </w:rPr>
                  <m:t xml:space="preserve"> </m:t>
                </m:r>
                <m:sSub>
                  <m:sSubPr>
                    <m:ctrlPr>
                      <w:rPr>
                        <w:rFonts w:ascii="Cambria Math" w:hAnsi="Cambria Math" w:cs="Courier New"/>
                        <w:i/>
                        <w:sz w:val="28"/>
                        <w:szCs w:val="28"/>
                      </w:rPr>
                    </m:ctrlPr>
                  </m:sSubPr>
                  <m:e>
                    <m:r>
                      <w:rPr>
                        <w:rFonts w:ascii="Cambria Math" w:hAnsi="Cambria Math" w:cs="Courier New"/>
                        <w:sz w:val="28"/>
                        <w:szCs w:val="28"/>
                      </w:rPr>
                      <m:t>ϕ</m:t>
                    </m:r>
                  </m:e>
                  <m:sub>
                    <m:r>
                      <m:rPr>
                        <m:sty m:val="p"/>
                      </m:rPr>
                      <w:rPr>
                        <w:rFonts w:ascii="Cambria Math" w:hAnsi="Cambria Math" w:cs="Courier New"/>
                        <w:sz w:val="28"/>
                        <w:szCs w:val="28"/>
                      </w:rPr>
                      <m:t>S</m:t>
                    </m:r>
                  </m:sub>
                </m:sSub>
                <m:d>
                  <m:dPr>
                    <m:ctrlPr>
                      <w:rPr>
                        <w:rFonts w:ascii="Cambria Math" w:hAnsi="Cambria Math" w:cs="Courier New"/>
                        <w:i/>
                        <w:sz w:val="28"/>
                        <w:szCs w:val="28"/>
                      </w:rPr>
                    </m:ctrlPr>
                  </m:dPr>
                  <m:e>
                    <m:r>
                      <w:rPr>
                        <w:rFonts w:ascii="Cambria Math" w:hAnsi="Cambria Math" w:cs="Courier New"/>
                        <w:sz w:val="28"/>
                        <w:szCs w:val="28"/>
                      </w:rPr>
                      <m:t>E</m:t>
                    </m:r>
                  </m:e>
                </m:d>
                <m:r>
                  <w:rPr>
                    <w:rFonts w:ascii="Cambria Math" w:hAnsi="Cambria Math" w:cs="Courier New"/>
                    <w:sz w:val="28"/>
                    <w:szCs w:val="28"/>
                  </w:rPr>
                  <m:t xml:space="preserve"> </m:t>
                </m:r>
                <m:r>
                  <m:rPr>
                    <m:sty m:val="p"/>
                  </m:rPr>
                  <w:rPr>
                    <w:rFonts w:ascii="Cambria Math" w:hAnsi="Cambria Math" w:cs="Courier New"/>
                    <w:sz w:val="28"/>
                    <w:szCs w:val="28"/>
                  </w:rPr>
                  <m:t>d</m:t>
                </m:r>
                <m:r>
                  <w:rPr>
                    <w:rFonts w:ascii="Cambria Math" w:hAnsi="Cambria Math" w:cs="Courier New"/>
                    <w:sz w:val="28"/>
                    <w:szCs w:val="28"/>
                  </w:rPr>
                  <m:t>E</m:t>
                </m:r>
              </m:e>
            </m:nary>
          </m:den>
        </m:f>
      </m:oMath>
      <w:r>
        <w:rPr>
          <w:rFonts w:ascii="Courier New" w:hAnsi="Courier New" w:cs="Courier New"/>
          <w:i/>
          <w:sz w:val="28"/>
          <w:szCs w:val="28"/>
        </w:rPr>
        <w:tab/>
      </w:r>
      <w:bookmarkEnd w:id="95"/>
      <w:r>
        <w:rPr>
          <w:rFonts w:ascii="Courier New" w:hAnsi="Courier New" w:cs="Courier New"/>
          <w:i/>
          <w:sz w:val="28"/>
          <w:szCs w:val="28"/>
        </w:rPr>
        <w:tab/>
      </w:r>
      <w:r>
        <w:rPr>
          <w:rFonts w:ascii="Courier New" w:hAnsi="Courier New" w:cs="Courier New"/>
          <w:i/>
          <w:sz w:val="28"/>
          <w:szCs w:val="28"/>
        </w:rPr>
        <w:tab/>
      </w:r>
      <w:r>
        <w:rPr>
          <w:rFonts w:ascii="Courier New" w:hAnsi="Courier New" w:cs="Courier New"/>
          <w:i/>
          <w:sz w:val="28"/>
          <w:szCs w:val="28"/>
        </w:rPr>
        <w:tab/>
      </w:r>
      <w:r>
        <w:rPr>
          <w:rFonts w:ascii="Courier New" w:hAnsi="Courier New" w:cs="Courier New"/>
          <w:i/>
          <w:sz w:val="28"/>
          <w:szCs w:val="28"/>
        </w:rPr>
        <w:tab/>
        <w:t xml:space="preserve"> </w:t>
      </w:r>
      <w:r>
        <w:rPr>
          <w:szCs w:val="24"/>
        </w:rPr>
        <w:t>(5.1)</w:t>
      </w:r>
    </w:p>
    <w:p w14:paraId="02D8ABE1" w14:textId="77777777" w:rsidR="00E72CA9" w:rsidRDefault="00D516E3">
      <w:pPr>
        <w:pStyle w:val="ICRPnumberedparagraph"/>
        <w:spacing w:before="240"/>
        <w:ind w:left="0"/>
      </w:pPr>
      <w:r>
        <w:t xml:space="preserve">The procedure has been validated by comparing the dose coefficients obtained with the convolution method and those calculated with a Monte Carlo code using a spectral source as an input. Fig. 5.1 shows such a comparison for an abdomen anterior-posterior examination using the adult male phantom and Fig. 5.2 shows the comparison for the same examination using the 1-year-old phantom. It can be seen that the agreement is very good - deviations are below 2% for all organs within the exposure field - and validates the convolution procedure used. </w:t>
      </w:r>
    </w:p>
    <w:p w14:paraId="4D469348" w14:textId="77777777" w:rsidR="00E72CA9" w:rsidRDefault="00D516E3">
      <w:pPr>
        <w:pStyle w:val="Annalstext"/>
        <w:numPr>
          <w:ilvl w:val="0"/>
          <w:numId w:val="1"/>
        </w:numPr>
        <w:ind w:left="0"/>
      </w:pPr>
      <w:r>
        <w:t xml:space="preserve">The overall organ absorbed dose coefficients for the projections considered and all male and female phantoms are given for each of the example spectra in the electronic supplement.  </w:t>
      </w:r>
      <w:bookmarkStart w:id="96" w:name="_Hlk157697131"/>
      <w:r>
        <w:t xml:space="preserve">As with  mono energetic data described in Section 4, for each spectra coefficients for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M</m:t>
            </m:r>
          </m:sup>
        </m:sSubSup>
        <m:r>
          <w:rPr>
            <w:rFonts w:ascii="Cambria Math" w:hAnsi="Cambria Math"/>
          </w:rPr>
          <m:t xml:space="preserve"> </m:t>
        </m:r>
      </m:oMath>
      <w:r>
        <w:t xml:space="preserve"> and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F</m:t>
            </m:r>
          </m:sup>
        </m:sSubSup>
      </m:oMath>
      <w:r>
        <w:t xml:space="preserve"> are provided, (again denoted </w:t>
      </w:r>
      <m:oMath>
        <m:sSub>
          <m:sSubPr>
            <m:ctrlPr>
              <w:rPr>
                <w:rFonts w:ascii="Cambria Math" w:hAnsi="Cambria Math"/>
                <w:i/>
                <w:szCs w:val="24"/>
              </w:rPr>
            </m:ctrlPr>
          </m:sSubPr>
          <m:e>
            <m:r>
              <w:rPr>
                <w:rFonts w:ascii="Cambria Math" w:hAnsi="Cambria Math"/>
                <w:szCs w:val="24"/>
              </w:rPr>
              <m:t>E</m:t>
            </m:r>
          </m:e>
          <m:sub>
            <m:r>
              <m:rPr>
                <m:sty m:val="p"/>
              </m:rPr>
              <w:rPr>
                <w:rFonts w:ascii="Cambria Math" w:hAnsi="Cambria Math"/>
                <w:szCs w:val="24"/>
              </w:rPr>
              <m:t>103, xxM</m:t>
            </m:r>
          </m:sub>
        </m:sSub>
      </m:oMath>
      <w:r>
        <w:rPr>
          <w:vertAlign w:val="subscript"/>
        </w:rPr>
        <w:t xml:space="preserve"> </w:t>
      </w:r>
      <w:r>
        <w:t xml:space="preserve">and </w:t>
      </w:r>
      <m:oMath>
        <m:sSub>
          <m:sSubPr>
            <m:ctrlPr>
              <w:rPr>
                <w:rFonts w:ascii="Cambria Math" w:hAnsi="Cambria Math"/>
                <w:i/>
                <w:szCs w:val="24"/>
              </w:rPr>
            </m:ctrlPr>
          </m:sSubPr>
          <m:e>
            <m:r>
              <w:rPr>
                <w:rFonts w:ascii="Cambria Math" w:hAnsi="Cambria Math"/>
                <w:szCs w:val="24"/>
              </w:rPr>
              <m:t>E</m:t>
            </m:r>
          </m:e>
          <m:sub>
            <m:r>
              <m:rPr>
                <m:sty m:val="p"/>
              </m:rPr>
              <w:rPr>
                <w:rFonts w:ascii="Cambria Math" w:hAnsi="Cambria Math"/>
                <w:szCs w:val="24"/>
              </w:rPr>
              <m:t>103, xxF</m:t>
            </m:r>
          </m:sub>
        </m:sSub>
      </m:oMath>
      <w:r>
        <w:t xml:space="preserve"> as described in paragraph 20 and annex A). For convenience, values of an effective dose coefficient (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 xml:space="preserve">T </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M</m:t>
            </m:r>
          </m:sup>
        </m:sSubSup>
      </m:oMath>
      <w:r>
        <w:t xml:space="preserve"> +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F</m:t>
            </m:r>
          </m:sup>
        </m:sSubSup>
        <m:r>
          <w:rPr>
            <w:rFonts w:ascii="Cambria Math" w:hAnsi="Cambria Math"/>
            <w:lang w:eastAsia="en-GB"/>
          </w:rPr>
          <m:t>)</m:t>
        </m:r>
      </m:oMath>
      <w:r>
        <w:rPr>
          <w:lang w:eastAsia="en-GB"/>
        </w:rPr>
        <w:t xml:space="preserve"> /2 are also provided, should the user wish to use the same value of normalisation quantity for male and female examinations.</w:t>
      </w:r>
    </w:p>
    <w:bookmarkEnd w:id="96"/>
    <w:p w14:paraId="278D0202" w14:textId="77777777" w:rsidR="00E72CA9" w:rsidRDefault="00D516E3">
      <w:pPr>
        <w:pStyle w:val="af0"/>
        <w:spacing w:line="240" w:lineRule="auto"/>
        <w:jc w:val="center"/>
        <w:rPr>
          <w:b w:val="0"/>
        </w:rPr>
      </w:pPr>
      <w:r>
        <w:rPr>
          <w:noProof/>
        </w:rPr>
        <w:drawing>
          <wp:inline distT="0" distB="0" distL="0" distR="0" wp14:anchorId="512867E8" wp14:editId="16271EED">
            <wp:extent cx="4928400" cy="3240000"/>
            <wp:effectExtent l="0" t="0" r="0" b="0"/>
            <wp:docPr id="25" name="그림 2">
              <a:extLst xmlns:a="http://schemas.openxmlformats.org/drawingml/2006/main">
                <a:ext uri="{FF2B5EF4-FFF2-40B4-BE49-F238E27FC236}">
                  <a16:creationId xmlns:a16="http://schemas.microsoft.com/office/drawing/2014/main" id="{F4932C7E-ACB0-415E-A5D7-93FFEA8A44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F4932C7E-ACB0-415E-A5D7-93FFEA8A4423}"/>
                        </a:ext>
                      </a:extLst>
                    </pic:cNvPr>
                    <pic:cNvPicPr>
                      <a:picLocks noChangeAspect="1"/>
                    </pic:cNvPicPr>
                  </pic:nvPicPr>
                  <pic:blipFill rotWithShape="1">
                    <a:blip r:embed="rId22" cstate="email">
                      <a:extLst>
                        <a:ext uri="{28A0092B-C50C-407E-A947-70E740481C1C}">
                          <a14:useLocalDpi xmlns:a14="http://schemas.microsoft.com/office/drawing/2010/main"/>
                        </a:ext>
                      </a:extLst>
                    </a:blip>
                    <a:srcRect t="1979" b="4925"/>
                    <a:stretch/>
                  </pic:blipFill>
                  <pic:spPr bwMode="auto">
                    <a:xfrm>
                      <a:off x="0" y="0"/>
                      <a:ext cx="4928400" cy="3240000"/>
                    </a:xfrm>
                    <a:prstGeom prst="rect">
                      <a:avLst/>
                    </a:prstGeom>
                    <a:ln>
                      <a:noFill/>
                    </a:ln>
                    <a:extLst>
                      <a:ext uri="{53640926-AAD7-44D8-BBD7-CCE9431645EC}">
                        <a14:shadowObscured xmlns:a14="http://schemas.microsoft.com/office/drawing/2010/main"/>
                      </a:ext>
                    </a:extLst>
                  </pic:spPr>
                </pic:pic>
              </a:graphicData>
            </a:graphic>
          </wp:inline>
        </w:drawing>
      </w:r>
    </w:p>
    <w:p w14:paraId="6792D0D4" w14:textId="77777777" w:rsidR="00E72CA9" w:rsidRDefault="00D516E3">
      <w:pPr>
        <w:pStyle w:val="af0"/>
        <w:spacing w:line="240" w:lineRule="auto"/>
        <w:jc w:val="both"/>
        <w:rPr>
          <w:b w:val="0"/>
          <w:sz w:val="22"/>
          <w:szCs w:val="22"/>
        </w:rPr>
      </w:pPr>
      <w:r>
        <w:rPr>
          <w:b w:val="0"/>
          <w:sz w:val="22"/>
          <w:szCs w:val="22"/>
        </w:rPr>
        <w:t xml:space="preserve">Fig. 5.1. Comparison of organ absorbed dose coefficients for abdomen anterior-posterior examination of the adult male reference phantom, for 60 kV </w:t>
      </w:r>
      <w:r>
        <w:rPr>
          <w:b w:val="0"/>
        </w:rPr>
        <w:t>tube potential</w:t>
      </w:r>
      <w:r>
        <w:rPr>
          <w:b w:val="0"/>
          <w:sz w:val="22"/>
          <w:szCs w:val="22"/>
        </w:rPr>
        <w:t xml:space="preserve"> and additional filtration of 3.5 mm Al, evaluated using the monoenergetic data and convolution method and direct Monte Carlo (MC) calculation employing spectral input data.</w:t>
      </w:r>
    </w:p>
    <w:p w14:paraId="06624783" w14:textId="77777777" w:rsidR="00E72CA9" w:rsidRDefault="00E72CA9"/>
    <w:p w14:paraId="035E0EB0" w14:textId="77777777" w:rsidR="00E72CA9" w:rsidRDefault="00D516E3">
      <w:pPr>
        <w:jc w:val="center"/>
      </w:pPr>
      <w:r>
        <w:rPr>
          <w:noProof/>
        </w:rPr>
        <w:drawing>
          <wp:inline distT="0" distB="0" distL="0" distR="0" wp14:anchorId="75DA364C" wp14:editId="4F61F765">
            <wp:extent cx="5090400" cy="3456000"/>
            <wp:effectExtent l="0" t="0" r="0" b="0"/>
            <wp:docPr id="26" name="그림 2">
              <a:extLst xmlns:a="http://schemas.openxmlformats.org/drawingml/2006/main">
                <a:ext uri="{FF2B5EF4-FFF2-40B4-BE49-F238E27FC236}">
                  <a16:creationId xmlns:a16="http://schemas.microsoft.com/office/drawing/2014/main" id="{340D90A6-D2AE-4E0C-AC50-389E37D227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340D90A6-D2AE-4E0C-AC50-389E37D227EA}"/>
                        </a:ext>
                      </a:extLst>
                    </pic:cNvPr>
                    <pic:cNvPicPr>
                      <a:picLocks noChangeAspect="1"/>
                    </pic:cNvPicPr>
                  </pic:nvPicPr>
                  <pic:blipFill rotWithShape="1">
                    <a:blip r:embed="rId23" cstate="email">
                      <a:extLst>
                        <a:ext uri="{28A0092B-C50C-407E-A947-70E740481C1C}">
                          <a14:useLocalDpi xmlns:a14="http://schemas.microsoft.com/office/drawing/2010/main"/>
                        </a:ext>
                      </a:extLst>
                    </a:blip>
                    <a:srcRect t="2189" b="2175"/>
                    <a:stretch/>
                  </pic:blipFill>
                  <pic:spPr bwMode="auto">
                    <a:xfrm>
                      <a:off x="0" y="0"/>
                      <a:ext cx="5090400" cy="3456000"/>
                    </a:xfrm>
                    <a:prstGeom prst="rect">
                      <a:avLst/>
                    </a:prstGeom>
                    <a:ln>
                      <a:noFill/>
                    </a:ln>
                    <a:extLst>
                      <a:ext uri="{53640926-AAD7-44D8-BBD7-CCE9431645EC}">
                        <a14:shadowObscured xmlns:a14="http://schemas.microsoft.com/office/drawing/2010/main"/>
                      </a:ext>
                    </a:extLst>
                  </pic:spPr>
                </pic:pic>
              </a:graphicData>
            </a:graphic>
          </wp:inline>
        </w:drawing>
      </w:r>
    </w:p>
    <w:p w14:paraId="4A661BDA" w14:textId="77777777" w:rsidR="00E72CA9" w:rsidRDefault="00D516E3">
      <w:pPr>
        <w:pStyle w:val="af0"/>
        <w:spacing w:line="240" w:lineRule="auto"/>
        <w:jc w:val="both"/>
        <w:rPr>
          <w:b w:val="0"/>
          <w:sz w:val="22"/>
          <w:szCs w:val="22"/>
        </w:rPr>
      </w:pPr>
      <w:r>
        <w:rPr>
          <w:b w:val="0"/>
          <w:sz w:val="22"/>
          <w:szCs w:val="22"/>
        </w:rPr>
        <w:t xml:space="preserve">Fig. 5.2. Comparison of organ absorbed dose coefficients for abdomen anterior-posterior examination of the one-year-old reference phantom (01M), for 65 kV </w:t>
      </w:r>
      <w:r>
        <w:rPr>
          <w:b w:val="0"/>
        </w:rPr>
        <w:t>tube potential</w:t>
      </w:r>
      <w:r>
        <w:rPr>
          <w:b w:val="0"/>
          <w:sz w:val="22"/>
          <w:szCs w:val="22"/>
        </w:rPr>
        <w:t xml:space="preserve"> and additional filtration of 3.0 mm Al +0.1 mm Cu, evaluated using the monoenergetic data and convolution method and direct Monte Carlo (MC) calculation employing spectral input data.</w:t>
      </w:r>
    </w:p>
    <w:p w14:paraId="4A475096" w14:textId="77777777" w:rsidR="00E72CA9" w:rsidRDefault="00D516E3">
      <w:r>
        <w:br w:type="page"/>
      </w:r>
    </w:p>
    <w:p w14:paraId="2CEB74E4" w14:textId="77777777" w:rsidR="00E72CA9" w:rsidRDefault="00D516E3">
      <w:pPr>
        <w:pStyle w:val="1"/>
      </w:pPr>
      <w:bookmarkStart w:id="97" w:name="_Toc6997831"/>
      <w:bookmarkStart w:id="98" w:name="_Toc6997920"/>
      <w:bookmarkStart w:id="99" w:name="_Toc6998183"/>
      <w:bookmarkStart w:id="100" w:name="_Toc6998308"/>
      <w:bookmarkStart w:id="101" w:name="_Toc6998398"/>
      <w:bookmarkStart w:id="102" w:name="_Toc6998402"/>
      <w:bookmarkStart w:id="103" w:name="_Toc6997836"/>
      <w:bookmarkStart w:id="104" w:name="_Toc6997925"/>
      <w:bookmarkStart w:id="105" w:name="_Toc6998188"/>
      <w:bookmarkStart w:id="106" w:name="_Toc6998313"/>
      <w:bookmarkStart w:id="107" w:name="_Toc6998404"/>
      <w:bookmarkStart w:id="108" w:name="_Toc6997838"/>
      <w:bookmarkStart w:id="109" w:name="_Toc6997927"/>
      <w:bookmarkStart w:id="110" w:name="_Toc6998190"/>
      <w:bookmarkStart w:id="111" w:name="_Toc6998315"/>
      <w:bookmarkStart w:id="112" w:name="_Toc6998406"/>
      <w:bookmarkStart w:id="113" w:name="_Toc6997839"/>
      <w:bookmarkStart w:id="114" w:name="_Toc6997928"/>
      <w:bookmarkStart w:id="115" w:name="_Toc6998191"/>
      <w:bookmarkStart w:id="116" w:name="_Toc6998316"/>
      <w:bookmarkStart w:id="117" w:name="_Toc6998407"/>
      <w:bookmarkStart w:id="118" w:name="_Toc111194108"/>
      <w:bookmarkStart w:id="119" w:name="_Toc158293337"/>
      <w:bookmarkStart w:id="120" w:name="_Toc158293659"/>
      <w:bookmarkStart w:id="121" w:name="_Toc165302045"/>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lastRenderedPageBreak/>
        <w:t>APPLICATION OF DOSE COEFFICIENTS</w:t>
      </w:r>
      <w:bookmarkEnd w:id="118"/>
      <w:bookmarkEnd w:id="119"/>
      <w:bookmarkEnd w:id="120"/>
      <w:bookmarkEnd w:id="121"/>
      <w:r>
        <w:t xml:space="preserve"> </w:t>
      </w:r>
    </w:p>
    <w:p w14:paraId="5FF025F8" w14:textId="77777777" w:rsidR="00E72CA9" w:rsidRDefault="00D516E3">
      <w:pPr>
        <w:pStyle w:val="2"/>
      </w:pPr>
      <w:bookmarkStart w:id="122" w:name="_Toc158293338"/>
      <w:bookmarkStart w:id="123" w:name="_Toc158293660"/>
      <w:bookmarkStart w:id="124" w:name="_Toc165302046"/>
      <w:r>
        <w:t>Using the Bremsstrahlung spectral data to estimate organ and effective doses</w:t>
      </w:r>
      <w:bookmarkEnd w:id="122"/>
      <w:bookmarkEnd w:id="123"/>
      <w:bookmarkEnd w:id="124"/>
    </w:p>
    <w:p w14:paraId="1AED7E74" w14:textId="77777777" w:rsidR="00E72CA9" w:rsidRDefault="00D516E3">
      <w:pPr>
        <w:pStyle w:val="ICRPnumberedparagraph"/>
        <w:ind w:left="0"/>
        <w:rPr>
          <w:snapToGrid w:val="0"/>
          <w:szCs w:val="20"/>
          <w:lang w:eastAsia="sv-SE"/>
        </w:rPr>
      </w:pPr>
      <w:r>
        <w:rPr>
          <w:snapToGrid w:val="0"/>
          <w:szCs w:val="20"/>
          <w:lang w:eastAsia="sv-SE"/>
        </w:rPr>
        <w:t xml:space="preserve">As previously outlined, for those users who do not need or wish to fine-tune their organ absorbed dose estimates using convolution, organ absorbed dose coefficients are provided for selected bremsstrahlung spectra between 50 and 120 kV with total filtration between 2.5 and 3.5 mm Al and an additional 0.1 mm Cu in the case of paediatric projections. The coefficients are normalised to KAP </w:t>
      </w:r>
      <w:r>
        <w:t>(</w:t>
      </w:r>
      <w:r>
        <w:rPr>
          <w:i/>
        </w:rPr>
        <w:t>P</w:t>
      </w:r>
      <w:r>
        <w:rPr>
          <w:vertAlign w:val="subscript"/>
        </w:rPr>
        <w:t>KA</w:t>
      </w:r>
      <w:r>
        <w:t>)</w:t>
      </w:r>
      <w:r>
        <w:rPr>
          <w:snapToGrid w:val="0"/>
          <w:szCs w:val="20"/>
          <w:lang w:eastAsia="sv-SE"/>
        </w:rPr>
        <w:t xml:space="preserve">, air kerma free-in-air and fluence, both determined at 1m from the x-ray tube. They can be used in those situations where the beam qualities encountered in the field are the same as or close to those in the tables. For simplicity, in this section, </w:t>
      </w:r>
      <w:r>
        <w:t>KAP (</w:t>
      </w:r>
      <w:r>
        <w:rPr>
          <w:i/>
        </w:rPr>
        <w:t>P</w:t>
      </w:r>
      <w:r>
        <w:rPr>
          <w:vertAlign w:val="subscript"/>
        </w:rPr>
        <w:t>KA</w:t>
      </w:r>
      <w:r>
        <w:t>) will be indicated as KAP.</w:t>
      </w:r>
    </w:p>
    <w:p w14:paraId="2418D613" w14:textId="77777777" w:rsidR="00E72CA9" w:rsidRDefault="00D516E3">
      <w:pPr>
        <w:pStyle w:val="ICRPnumberedparagraph"/>
        <w:ind w:left="-142" w:firstLine="426"/>
        <w:rPr>
          <w:snapToGrid w:val="0"/>
          <w:lang w:eastAsia="sv-SE"/>
        </w:rPr>
      </w:pPr>
      <w:r>
        <w:t xml:space="preserve">To </w:t>
      </w:r>
      <w:r>
        <w:rPr>
          <w:snapToGrid w:val="0"/>
          <w:lang w:eastAsia="sv-SE"/>
        </w:rPr>
        <w:t xml:space="preserve">use the spectrum data provided in this </w:t>
      </w:r>
      <w:r>
        <w:t>publication,</w:t>
      </w:r>
      <w:r>
        <w:rPr>
          <w:snapToGrid w:val="0"/>
          <w:lang w:eastAsia="sv-SE"/>
        </w:rPr>
        <w:t xml:space="preserve"> it is necessary to have as a minimum:</w:t>
      </w:r>
    </w:p>
    <w:p w14:paraId="67D957A3" w14:textId="77777777" w:rsidR="00E72CA9" w:rsidRDefault="00D516E3">
      <w:pPr>
        <w:pStyle w:val="ICRPnumberedparagraph"/>
        <w:numPr>
          <w:ilvl w:val="1"/>
          <w:numId w:val="1"/>
        </w:numPr>
        <w:ind w:left="567" w:hanging="425"/>
        <w:rPr>
          <w:snapToGrid w:val="0"/>
          <w:szCs w:val="20"/>
          <w:lang w:eastAsia="sv-SE"/>
        </w:rPr>
      </w:pPr>
      <w:r>
        <w:rPr>
          <w:snapToGrid w:val="0"/>
          <w:szCs w:val="20"/>
          <w:lang w:eastAsia="sv-SE"/>
        </w:rPr>
        <w:t xml:space="preserve">a measurement of the kerma free-in-air on the central axis of the beam at 1 m from the tube focus or the KAP for a specific radiographic view; </w:t>
      </w:r>
    </w:p>
    <w:p w14:paraId="18040606" w14:textId="77777777" w:rsidR="00E72CA9" w:rsidRDefault="00D516E3">
      <w:pPr>
        <w:pStyle w:val="ICRPnumberedparagraph"/>
        <w:numPr>
          <w:ilvl w:val="1"/>
          <w:numId w:val="1"/>
        </w:numPr>
        <w:tabs>
          <w:tab w:val="clear" w:pos="851"/>
          <w:tab w:val="left" w:pos="567"/>
        </w:tabs>
        <w:ind w:left="74" w:firstLine="0"/>
        <w:rPr>
          <w:snapToGrid w:val="0"/>
          <w:szCs w:val="20"/>
          <w:lang w:eastAsia="sv-SE"/>
        </w:rPr>
      </w:pPr>
      <w:r>
        <w:rPr>
          <w:snapToGrid w:val="0"/>
          <w:szCs w:val="20"/>
          <w:lang w:eastAsia="sv-SE"/>
        </w:rPr>
        <w:t>the tube potential in kV used for the exposure; and</w:t>
      </w:r>
    </w:p>
    <w:p w14:paraId="6D67C6AE" w14:textId="77777777" w:rsidR="00E72CA9" w:rsidRDefault="00D516E3">
      <w:pPr>
        <w:pStyle w:val="ICRPnumberedparagraph"/>
        <w:numPr>
          <w:ilvl w:val="1"/>
          <w:numId w:val="1"/>
        </w:numPr>
        <w:ind w:left="567" w:hanging="567"/>
        <w:rPr>
          <w:snapToGrid w:val="0"/>
          <w:szCs w:val="20"/>
          <w:lang w:eastAsia="sv-SE"/>
        </w:rPr>
      </w:pPr>
      <w:r>
        <w:rPr>
          <w:snapToGrid w:val="0"/>
          <w:szCs w:val="20"/>
          <w:lang w:eastAsia="sv-SE"/>
        </w:rPr>
        <w:t>knowledge of the tube filtration.</w:t>
      </w:r>
    </w:p>
    <w:p w14:paraId="413DEB62" w14:textId="77777777" w:rsidR="00E72CA9" w:rsidRDefault="00E72CA9">
      <w:pPr>
        <w:pStyle w:val="ICRPnumberedparagraph"/>
        <w:numPr>
          <w:ilvl w:val="0"/>
          <w:numId w:val="0"/>
        </w:numPr>
        <w:rPr>
          <w:snapToGrid w:val="0"/>
          <w:szCs w:val="20"/>
          <w:lang w:eastAsia="sv-SE"/>
        </w:rPr>
      </w:pPr>
    </w:p>
    <w:p w14:paraId="7F7BF746" w14:textId="77777777" w:rsidR="00E72CA9" w:rsidRDefault="00D516E3">
      <w:pPr>
        <w:pStyle w:val="ICRPnumberedparagraph"/>
        <w:tabs>
          <w:tab w:val="num" w:pos="0"/>
        </w:tabs>
        <w:ind w:left="0"/>
      </w:pPr>
      <w:r>
        <w:t xml:space="preserve">The kerma </w:t>
      </w:r>
      <w:r>
        <w:rPr>
          <w:snapToGrid w:val="0"/>
          <w:szCs w:val="20"/>
          <w:lang w:eastAsia="sv-SE"/>
        </w:rPr>
        <w:t>free-in-air</w:t>
      </w:r>
      <w:r>
        <w:t xml:space="preserve"> can be obtained from measurements made using an ionisation chamber, and the KAP will generally be displayed on a (properly calibrated) x-ray set, but can also be calculated from the kerma </w:t>
      </w:r>
      <w:r>
        <w:rPr>
          <w:snapToGrid w:val="0"/>
          <w:szCs w:val="20"/>
          <w:lang w:eastAsia="sv-SE"/>
        </w:rPr>
        <w:t>free-in-air</w:t>
      </w:r>
      <w:r>
        <w:t xml:space="preserve"> and the field size. Ideally, the total filtration of the tube will be known, in terms of mm Al plus any additional copper. If the exact filtration is not known, then it is suggested, on the basis of clinical experience, that 3.0 mm Al be chosen for both adult and paediatric cases. </w:t>
      </w:r>
    </w:p>
    <w:p w14:paraId="51CA2F1E" w14:textId="77777777" w:rsidR="00E72CA9" w:rsidRDefault="00D516E3">
      <w:pPr>
        <w:pStyle w:val="ICRPnumberedparagraph"/>
        <w:ind w:left="0"/>
        <w:rPr>
          <w:snapToGrid w:val="0"/>
          <w:szCs w:val="20"/>
          <w:lang w:eastAsia="sv-SE"/>
        </w:rPr>
      </w:pPr>
      <w:r>
        <w:rPr>
          <w:snapToGrid w:val="0"/>
          <w:szCs w:val="20"/>
          <w:lang w:eastAsia="sv-SE"/>
        </w:rPr>
        <w:t>For example, to determine the colon dose for an abdominal anterior-posterior (AP) examination performed on an adult male, at a tube potential of 80 kV and a KAP of 2.5 Gy cm</w:t>
      </w:r>
      <w:r>
        <w:rPr>
          <w:snapToGrid w:val="0"/>
          <w:szCs w:val="20"/>
          <w:vertAlign w:val="superscript"/>
          <w:lang w:eastAsia="sv-SE"/>
        </w:rPr>
        <w:t>2</w:t>
      </w:r>
      <w:r>
        <w:rPr>
          <w:snapToGrid w:val="0"/>
          <w:szCs w:val="20"/>
          <w:lang w:eastAsia="sv-SE"/>
        </w:rPr>
        <w:t xml:space="preserve"> and with a total filtration of 3.5 mm Al, the user should:</w:t>
      </w:r>
    </w:p>
    <w:p w14:paraId="547E60F2" w14:textId="77777777" w:rsidR="00E72CA9" w:rsidRDefault="00D516E3">
      <w:pPr>
        <w:pStyle w:val="ICRPnumberedparagraph"/>
        <w:numPr>
          <w:ilvl w:val="1"/>
          <w:numId w:val="1"/>
        </w:numPr>
        <w:tabs>
          <w:tab w:val="clear" w:pos="1800"/>
          <w:tab w:val="num" w:pos="1560"/>
        </w:tabs>
        <w:ind w:left="567" w:hanging="425"/>
        <w:rPr>
          <w:snapToGrid w:val="0"/>
          <w:szCs w:val="20"/>
          <w:lang w:eastAsia="sv-SE"/>
        </w:rPr>
      </w:pPr>
      <w:r>
        <w:rPr>
          <w:snapToGrid w:val="0"/>
          <w:szCs w:val="20"/>
          <w:lang w:eastAsia="sv-SE"/>
        </w:rPr>
        <w:t>open the file ‘AbdomenAP_Spectral.xlsx’ in the electronic annex;</w:t>
      </w:r>
    </w:p>
    <w:p w14:paraId="0F5A15F5" w14:textId="77777777" w:rsidR="00E72CA9" w:rsidRDefault="00D516E3">
      <w:pPr>
        <w:pStyle w:val="ICRPnumberedparagraph"/>
        <w:numPr>
          <w:ilvl w:val="1"/>
          <w:numId w:val="1"/>
        </w:numPr>
        <w:tabs>
          <w:tab w:val="clear" w:pos="1800"/>
          <w:tab w:val="num" w:pos="1560"/>
        </w:tabs>
        <w:ind w:left="496" w:hanging="425"/>
        <w:rPr>
          <w:snapToGrid w:val="0"/>
          <w:szCs w:val="20"/>
          <w:lang w:eastAsia="sv-SE"/>
        </w:rPr>
      </w:pPr>
      <w:r>
        <w:rPr>
          <w:snapToGrid w:val="0"/>
          <w:szCs w:val="20"/>
          <w:lang w:eastAsia="sv-SE"/>
        </w:rPr>
        <w:t xml:space="preserve">Select the tab ‘AM’, indicating Adult Male; and </w:t>
      </w:r>
    </w:p>
    <w:p w14:paraId="0E091D04" w14:textId="682EF71A" w:rsidR="00E72CA9" w:rsidRDefault="00D516E3">
      <w:pPr>
        <w:pStyle w:val="ICRPnumberedparagraph"/>
        <w:numPr>
          <w:ilvl w:val="1"/>
          <w:numId w:val="1"/>
        </w:numPr>
        <w:tabs>
          <w:tab w:val="clear" w:pos="1800"/>
          <w:tab w:val="num" w:pos="1560"/>
        </w:tabs>
        <w:spacing w:after="240"/>
        <w:ind w:left="567" w:hanging="567"/>
        <w:rPr>
          <w:snapToGrid w:val="0"/>
          <w:szCs w:val="20"/>
          <w:lang w:eastAsia="sv-SE"/>
        </w:rPr>
      </w:pPr>
      <w:r>
        <w:rPr>
          <w:snapToGrid w:val="0"/>
          <w:szCs w:val="20"/>
          <w:lang w:eastAsia="sv-SE"/>
        </w:rPr>
        <w:t>Select row 69, which corresponds to 80 kV.</w:t>
      </w:r>
    </w:p>
    <w:p w14:paraId="0EAAE119" w14:textId="77777777" w:rsidR="00E72CA9" w:rsidRDefault="00D516E3">
      <w:pPr>
        <w:rPr>
          <w:snapToGrid w:val="0"/>
          <w:szCs w:val="20"/>
          <w:lang w:eastAsia="sv-SE"/>
        </w:rPr>
      </w:pPr>
      <w:r>
        <w:rPr>
          <w:snapToGrid w:val="0"/>
          <w:szCs w:val="20"/>
          <w:lang w:eastAsia="sv-SE"/>
        </w:rPr>
        <w:t>Organ absorbed dose coefficients are given in mGy Gy</w:t>
      </w:r>
      <w:r>
        <w:rPr>
          <w:snapToGrid w:val="0"/>
          <w:szCs w:val="20"/>
          <w:vertAlign w:val="superscript"/>
          <w:lang w:eastAsia="sv-SE"/>
        </w:rPr>
        <w:t>−1</w:t>
      </w:r>
      <w:r>
        <w:rPr>
          <w:snapToGrid w:val="0"/>
          <w:szCs w:val="20"/>
          <w:lang w:eastAsia="sv-SE"/>
        </w:rPr>
        <w:t xml:space="preserve"> cm</w:t>
      </w:r>
      <w:r>
        <w:rPr>
          <w:snapToGrid w:val="0"/>
          <w:szCs w:val="20"/>
          <w:vertAlign w:val="superscript"/>
          <w:lang w:eastAsia="sv-SE"/>
        </w:rPr>
        <w:t>−2</w:t>
      </w:r>
      <w:r>
        <w:rPr>
          <w:snapToGrid w:val="0"/>
          <w:szCs w:val="20"/>
          <w:lang w:eastAsia="sv-SE"/>
        </w:rPr>
        <w:t xml:space="preserve"> from column F onwards. Thus, the colon absorbed dose (column G, for the coefficient) is found to be 4.26×10</w:t>
      </w:r>
      <w:r>
        <w:rPr>
          <w:snapToGrid w:val="0"/>
          <w:szCs w:val="20"/>
          <w:vertAlign w:val="superscript"/>
          <w:lang w:eastAsia="sv-SE"/>
        </w:rPr>
        <w:t>−1</w:t>
      </w:r>
      <w:r>
        <w:rPr>
          <w:snapToGrid w:val="0"/>
          <w:szCs w:val="20"/>
          <w:lang w:eastAsia="sv-SE"/>
        </w:rPr>
        <w:t xml:space="preserve"> mGy Gy</w:t>
      </w:r>
      <w:r>
        <w:rPr>
          <w:snapToGrid w:val="0"/>
          <w:szCs w:val="20"/>
          <w:vertAlign w:val="superscript"/>
          <w:lang w:eastAsia="sv-SE"/>
        </w:rPr>
        <w:t>−1</w:t>
      </w:r>
      <w:r>
        <w:rPr>
          <w:snapToGrid w:val="0"/>
          <w:szCs w:val="20"/>
          <w:lang w:eastAsia="sv-SE"/>
        </w:rPr>
        <w:t xml:space="preserve"> cm</w:t>
      </w:r>
      <w:r>
        <w:rPr>
          <w:snapToGrid w:val="0"/>
          <w:szCs w:val="20"/>
          <w:vertAlign w:val="superscript"/>
          <w:lang w:eastAsia="sv-SE"/>
        </w:rPr>
        <w:t xml:space="preserve">−2 </w:t>
      </w:r>
      <w:r>
        <w:rPr>
          <w:snapToGrid w:val="0"/>
          <w:szCs w:val="20"/>
          <w:lang w:eastAsia="sv-SE"/>
        </w:rPr>
        <w:t>×2.5 Gy cm</w:t>
      </w:r>
      <w:r>
        <w:rPr>
          <w:snapToGrid w:val="0"/>
          <w:szCs w:val="20"/>
          <w:vertAlign w:val="superscript"/>
          <w:lang w:eastAsia="sv-SE"/>
        </w:rPr>
        <w:t xml:space="preserve">2 </w:t>
      </w:r>
      <w:r>
        <w:rPr>
          <w:snapToGrid w:val="0"/>
          <w:szCs w:val="20"/>
          <w:lang w:eastAsia="sv-SE"/>
        </w:rPr>
        <w:t xml:space="preserve">= 1.1 mGy. </w:t>
      </w:r>
    </w:p>
    <w:p w14:paraId="4C8A29DD" w14:textId="36F75454" w:rsidR="00E72CA9" w:rsidRDefault="00D516E3">
      <w:pPr>
        <w:pStyle w:val="ICRPnumberedparagraph"/>
        <w:tabs>
          <w:tab w:val="clear" w:pos="5322"/>
        </w:tabs>
        <w:ind w:left="0"/>
      </w:pPr>
      <w:r>
        <w:t xml:space="preserve">The effective dose, </w:t>
      </w:r>
      <w:r>
        <w:rPr>
          <w:i/>
        </w:rPr>
        <w:t>E</w:t>
      </w:r>
      <w:r>
        <w:t xml:space="preserve">, can be determined by multiplying each of the dose coefficients </w:t>
      </w:r>
      <w:r>
        <w:rPr>
          <w:i/>
          <w:snapToGrid w:val="0"/>
        </w:rPr>
        <w:t>E</w:t>
      </w:r>
      <w:r>
        <w:rPr>
          <w:snapToGrid w:val="0"/>
          <w:vertAlign w:val="subscript"/>
        </w:rPr>
        <w:t>103,AM</w:t>
      </w:r>
      <w:r>
        <w:rPr>
          <w:snapToGrid w:val="0"/>
        </w:rPr>
        <w:t xml:space="preserve"> and </w:t>
      </w:r>
      <w:r>
        <w:rPr>
          <w:i/>
          <w:snapToGrid w:val="0"/>
        </w:rPr>
        <w:t>E</w:t>
      </w:r>
      <w:r>
        <w:rPr>
          <w:snapToGrid w:val="0"/>
          <w:vertAlign w:val="subscript"/>
        </w:rPr>
        <w:t>103,AF</w:t>
      </w:r>
      <w:r>
        <w:rPr>
          <w:snapToGrid w:val="0"/>
        </w:rPr>
        <w:t xml:space="preserve"> </w:t>
      </w:r>
      <w:r>
        <w:t xml:space="preserve">by the KAP used in the male and female examinations respectively, and then dividing the sum by two. In this example, it is assumed that that the KAP for the Abdomen AP examination of the female is the same for that on the male, i.e. 2.5 </w:t>
      </w:r>
      <w:r>
        <w:rPr>
          <w:snapToGrid w:val="0"/>
        </w:rPr>
        <w:t>Gy cm</w:t>
      </w:r>
      <w:r>
        <w:rPr>
          <w:snapToGrid w:val="0"/>
          <w:vertAlign w:val="superscript"/>
        </w:rPr>
        <w:t>2</w:t>
      </w:r>
      <w:r>
        <w:rPr>
          <w:snapToGrid w:val="0"/>
        </w:rPr>
        <w:t>. The dose coefficient for a male is 1.76</w:t>
      </w:r>
      <w:r>
        <w:rPr>
          <w:snapToGrid w:val="0"/>
          <w:szCs w:val="20"/>
          <w:lang w:eastAsia="sv-SE"/>
        </w:rPr>
        <w:t>×</w:t>
      </w:r>
      <w:r>
        <w:rPr>
          <w:snapToGrid w:val="0"/>
        </w:rPr>
        <w:t>10</w:t>
      </w:r>
      <w:r>
        <w:rPr>
          <w:snapToGrid w:val="0"/>
          <w:vertAlign w:val="superscript"/>
        </w:rPr>
        <w:t xml:space="preserve">−1 </w:t>
      </w:r>
      <w:r>
        <w:rPr>
          <w:snapToGrid w:val="0"/>
        </w:rPr>
        <w:t>mSv Gy</w:t>
      </w:r>
      <w:r>
        <w:rPr>
          <w:snapToGrid w:val="0"/>
          <w:szCs w:val="20"/>
          <w:vertAlign w:val="superscript"/>
          <w:lang w:eastAsia="sv-SE"/>
        </w:rPr>
        <w:t xml:space="preserve">−1 </w:t>
      </w:r>
      <w:r>
        <w:rPr>
          <w:snapToGrid w:val="0"/>
        </w:rPr>
        <w:t>cm</w:t>
      </w:r>
      <w:r>
        <w:rPr>
          <w:snapToGrid w:val="0"/>
          <w:vertAlign w:val="superscript"/>
        </w:rPr>
        <w:t xml:space="preserve">−2 </w:t>
      </w:r>
      <w:r>
        <w:rPr>
          <w:snapToGrid w:val="0"/>
        </w:rPr>
        <w:t>and for a female it is 2.57</w:t>
      </w:r>
      <w:r>
        <w:rPr>
          <w:snapToGrid w:val="0"/>
          <w:szCs w:val="20"/>
          <w:lang w:eastAsia="sv-SE"/>
        </w:rPr>
        <w:t>×</w:t>
      </w:r>
      <w:r>
        <w:rPr>
          <w:snapToGrid w:val="0"/>
        </w:rPr>
        <w:t>10</w:t>
      </w:r>
      <w:r>
        <w:rPr>
          <w:snapToGrid w:val="0"/>
          <w:vertAlign w:val="superscript"/>
        </w:rPr>
        <w:t xml:space="preserve">−1  </w:t>
      </w:r>
      <w:r>
        <w:rPr>
          <w:snapToGrid w:val="0"/>
        </w:rPr>
        <w:t>mSv Gy</w:t>
      </w:r>
      <w:r>
        <w:rPr>
          <w:snapToGrid w:val="0"/>
          <w:szCs w:val="20"/>
          <w:vertAlign w:val="superscript"/>
          <w:lang w:eastAsia="sv-SE"/>
        </w:rPr>
        <w:t xml:space="preserve">−1 </w:t>
      </w:r>
      <w:r>
        <w:rPr>
          <w:snapToGrid w:val="0"/>
        </w:rPr>
        <w:t>cm</w:t>
      </w:r>
      <w:r>
        <w:rPr>
          <w:snapToGrid w:val="0"/>
          <w:vertAlign w:val="superscript"/>
        </w:rPr>
        <w:t xml:space="preserve">−2 </w:t>
      </w:r>
      <w:r>
        <w:rPr>
          <w:snapToGrid w:val="0"/>
        </w:rPr>
        <w:t xml:space="preserve">(Columns ‘AH’), so </w:t>
      </w:r>
      <w:r>
        <w:rPr>
          <w:i/>
          <w:snapToGrid w:val="0"/>
        </w:rPr>
        <w:t>E</w:t>
      </w:r>
      <w:r>
        <w:rPr>
          <w:snapToGrid w:val="0"/>
        </w:rPr>
        <w:t xml:space="preserve"> for this examination is given by </w:t>
      </w:r>
      <w:r>
        <w:rPr>
          <w:i/>
          <w:iCs/>
          <w:snapToGrid w:val="0"/>
        </w:rPr>
        <w:t>E</w:t>
      </w:r>
      <w:r>
        <w:rPr>
          <w:snapToGrid w:val="0"/>
        </w:rPr>
        <w:t xml:space="preserve"> = (1.76×10</w:t>
      </w:r>
      <w:r>
        <w:rPr>
          <w:snapToGrid w:val="0"/>
          <w:vertAlign w:val="superscript"/>
        </w:rPr>
        <w:t>−1</w:t>
      </w:r>
      <w:r>
        <w:rPr>
          <w:snapToGrid w:val="0"/>
        </w:rPr>
        <w:t xml:space="preserve"> mSv Gy</w:t>
      </w:r>
      <w:r>
        <w:rPr>
          <w:snapToGrid w:val="0"/>
          <w:vertAlign w:val="superscript"/>
        </w:rPr>
        <w:t xml:space="preserve">−1 </w:t>
      </w:r>
      <w:r>
        <w:rPr>
          <w:snapToGrid w:val="0"/>
        </w:rPr>
        <w:t>cm</w:t>
      </w:r>
      <w:r>
        <w:rPr>
          <w:snapToGrid w:val="0"/>
          <w:vertAlign w:val="superscript"/>
        </w:rPr>
        <w:t>−2</w:t>
      </w:r>
      <w:r>
        <w:rPr>
          <w:snapToGrid w:val="0"/>
        </w:rPr>
        <w:t xml:space="preserve"> + 2.57×10</w:t>
      </w:r>
      <w:r>
        <w:rPr>
          <w:snapToGrid w:val="0"/>
          <w:vertAlign w:val="superscript"/>
        </w:rPr>
        <w:t>−1</w:t>
      </w:r>
      <w:r>
        <w:rPr>
          <w:snapToGrid w:val="0"/>
        </w:rPr>
        <w:t xml:space="preserve"> mSv Gy</w:t>
      </w:r>
      <w:r>
        <w:rPr>
          <w:snapToGrid w:val="0"/>
          <w:vertAlign w:val="superscript"/>
        </w:rPr>
        <w:t xml:space="preserve">−1 </w:t>
      </w:r>
      <w:r>
        <w:rPr>
          <w:snapToGrid w:val="0"/>
        </w:rPr>
        <w:t>cm</w:t>
      </w:r>
      <w:r>
        <w:rPr>
          <w:snapToGrid w:val="0"/>
          <w:vertAlign w:val="superscript"/>
        </w:rPr>
        <w:t>−2</w:t>
      </w:r>
      <w:r>
        <w:rPr>
          <w:snapToGrid w:val="0"/>
        </w:rPr>
        <w:t>) / 2 × 2.5 Gy cm</w:t>
      </w:r>
      <w:r>
        <w:rPr>
          <w:snapToGrid w:val="0"/>
          <w:vertAlign w:val="superscript"/>
        </w:rPr>
        <w:t xml:space="preserve">2 </w:t>
      </w:r>
      <w:r>
        <w:rPr>
          <w:snapToGrid w:val="0"/>
        </w:rPr>
        <w:t>= 2.16×10</w:t>
      </w:r>
      <w:r>
        <w:rPr>
          <w:snapToGrid w:val="0"/>
          <w:vertAlign w:val="superscript"/>
        </w:rPr>
        <w:t>−1</w:t>
      </w:r>
      <w:r>
        <w:rPr>
          <w:snapToGrid w:val="0"/>
        </w:rPr>
        <w:t xml:space="preserve"> mSv Gy</w:t>
      </w:r>
      <w:r>
        <w:rPr>
          <w:snapToGrid w:val="0"/>
          <w:vertAlign w:val="superscript"/>
        </w:rPr>
        <w:t xml:space="preserve">−1 </w:t>
      </w:r>
      <w:r>
        <w:rPr>
          <w:snapToGrid w:val="0"/>
        </w:rPr>
        <w:t>cm</w:t>
      </w:r>
      <w:r>
        <w:rPr>
          <w:snapToGrid w:val="0"/>
          <w:vertAlign w:val="superscript"/>
        </w:rPr>
        <w:t>−2</w:t>
      </w:r>
      <w:r>
        <w:rPr>
          <w:snapToGrid w:val="0"/>
        </w:rPr>
        <w:t xml:space="preserve"> × 2.5 Gy cm</w:t>
      </w:r>
      <w:r>
        <w:rPr>
          <w:snapToGrid w:val="0"/>
          <w:vertAlign w:val="superscript"/>
        </w:rPr>
        <w:t xml:space="preserve">2 </w:t>
      </w:r>
      <w:r>
        <w:rPr>
          <w:snapToGrid w:val="0"/>
        </w:rPr>
        <w:t xml:space="preserve">= 0.54  mSv. </w:t>
      </w:r>
      <w:r>
        <w:t>A similar process can be followed if air kerma at the reference plane is used as the normalising quantity. For convenience, column ‘AJ’ provides the averaged dose coefficient for those who wish to take this approach.</w:t>
      </w:r>
    </w:p>
    <w:p w14:paraId="6B74DC73" w14:textId="77777777" w:rsidR="00E72CA9" w:rsidRDefault="00D516E3">
      <w:pPr>
        <w:pStyle w:val="Annalstext"/>
        <w:numPr>
          <w:ilvl w:val="0"/>
          <w:numId w:val="1"/>
        </w:numPr>
        <w:ind w:left="0"/>
      </w:pPr>
      <w:r>
        <w:t>If the filtration is known exactly and falls between 2.5 and 3.5 mm Al, then simple linear interpolation can be used to obtain a more precise value for any dose coefficient.</w:t>
      </w:r>
    </w:p>
    <w:p w14:paraId="7D3A0775" w14:textId="77777777" w:rsidR="00E72CA9" w:rsidRDefault="00D516E3">
      <w:pPr>
        <w:pStyle w:val="Annalstext"/>
        <w:numPr>
          <w:ilvl w:val="0"/>
          <w:numId w:val="1"/>
        </w:numPr>
        <w:ind w:left="0"/>
      </w:pPr>
      <w:r>
        <w:lastRenderedPageBreak/>
        <w:t>Note that in the case of paediatric examinations, the selection of tube potential is restricted to a more restricted set of values to represent clinical practice. Also, there is only one option for copper filtration.</w:t>
      </w:r>
    </w:p>
    <w:p w14:paraId="363D120F" w14:textId="77777777" w:rsidR="00E72CA9" w:rsidRDefault="00D516E3">
      <w:pPr>
        <w:pStyle w:val="2"/>
      </w:pPr>
      <w:bookmarkStart w:id="125" w:name="_Toc158293339"/>
      <w:bookmarkStart w:id="126" w:name="_Toc158293661"/>
      <w:bookmarkStart w:id="127" w:name="_Toc165302047"/>
      <w:r>
        <w:t>Using the convolution process for a user-defined spectrum</w:t>
      </w:r>
      <w:bookmarkEnd w:id="125"/>
      <w:bookmarkEnd w:id="126"/>
      <w:bookmarkEnd w:id="127"/>
    </w:p>
    <w:p w14:paraId="5FEA9B58" w14:textId="77777777" w:rsidR="00E72CA9" w:rsidRDefault="00D516E3">
      <w:pPr>
        <w:pStyle w:val="ICRPnumberedparagraph"/>
        <w:tabs>
          <w:tab w:val="clear" w:pos="5322"/>
          <w:tab w:val="num" w:pos="284"/>
        </w:tabs>
        <w:spacing w:before="120"/>
        <w:ind w:left="0"/>
      </w:pPr>
      <w:r>
        <w:t xml:space="preserve">Dose coefficients for a user-defined spectrum can be obtained by convolution using the monoenergetic dose coefficients provided in this publication as described in Eq. 5.1. By way of example, consider again the case of the AP abdomen projection performed on the adult male phantom. For this example, the program SpekCalc was used to generate an 80 kV bremsstrahlung spectrum from a tungsten target with a 13 degree anode angle and 3.5 mm Al total filtration. This is the same example as in Section 6.1, but will use the convolution approach, rather than the results explicitly provided. </w:t>
      </w:r>
    </w:p>
    <w:p w14:paraId="46566D43" w14:textId="77777777" w:rsidR="00E72CA9" w:rsidRDefault="00D516E3">
      <w:pPr>
        <w:pStyle w:val="ICRPnumberedparagraph"/>
        <w:ind w:left="0"/>
        <w:rPr>
          <w:lang w:val="en-US"/>
        </w:rPr>
      </w:pPr>
      <w:r>
        <w:rPr>
          <w:rStyle w:val="ICRPbasicChar"/>
          <w:rFonts w:eastAsia="ＭＳ 明朝"/>
        </w:rPr>
        <w:t>The flow diagram (Fig. 6.1) shows how the convolution process is carried out using data from the electronic supplement, in conjunction with the calculated spectrum. The diagram references Table 6.1 which uses as an example the data file ‘AbdomenAP_mono.xlsx’ from the appropriate folder of the electronic supplement and in particular the dose coefficients of colon</w:t>
      </w:r>
      <w:r>
        <w:rPr>
          <w:lang w:val="en-US"/>
        </w:rPr>
        <w:t>.</w:t>
      </w:r>
    </w:p>
    <w:p w14:paraId="7CAA8B90" w14:textId="77777777" w:rsidR="00E72CA9" w:rsidRDefault="00D516E3">
      <w:pPr>
        <w:pStyle w:val="ICRPnumberedparagraph"/>
        <w:tabs>
          <w:tab w:val="clear" w:pos="851"/>
          <w:tab w:val="clear" w:pos="5322"/>
          <w:tab w:val="left" w:pos="709"/>
        </w:tabs>
        <w:ind w:left="0"/>
        <w:rPr>
          <w:lang w:val="en-US"/>
        </w:rPr>
      </w:pPr>
      <w:r>
        <w:rPr>
          <w:lang w:val="en-US"/>
        </w:rPr>
        <w:t xml:space="preserve">The first two columns of Table 6.1 show the energy and fluence data from the spectrum program. For simplicity, only the first 14 and last 4 energy intervals are shown (note, values are only provided where the fluence is not zero). The third column (relative number of photons per energy interval) is calculated as shown. The fourth column (organ absorbed dose per fluence per energy interval) is taken from the electronic supplement (file ‘AbdomenAP_mono.xlsx’), and the fifth column (fluence-weighted probability) is calculated as shown. The sixth column (air kerma per fluence in the reference plane) is taken also from the file ‘AbdomenAP_mono.xlsx’, and the final column (weighted air kerma per energy interval in the reference plane) is calculated as shown. The dose per KAP and per kerma at the reference plane are calculated as shown. </w:t>
      </w:r>
    </w:p>
    <w:p w14:paraId="35B9068E" w14:textId="77777777" w:rsidR="00E72CA9" w:rsidRDefault="00D516E3">
      <w:pPr>
        <w:pStyle w:val="ICRPnumberedparagraph"/>
        <w:tabs>
          <w:tab w:val="clear" w:pos="851"/>
          <w:tab w:val="clear" w:pos="2062"/>
          <w:tab w:val="clear" w:pos="5322"/>
          <w:tab w:val="left" w:pos="0"/>
        </w:tabs>
        <w:ind w:left="0"/>
        <w:rPr>
          <w:lang w:val="en-US"/>
        </w:rPr>
      </w:pPr>
      <w:r>
        <w:rPr>
          <w:lang w:val="en-US"/>
        </w:rPr>
        <w:t xml:space="preserve"> Table 6.1 shows that the colon dose per KAP, estimated via convolution is 0.43 mGy  Gy</w:t>
      </w:r>
      <w:r>
        <w:rPr>
          <w:vertAlign w:val="superscript"/>
          <w:lang w:val="en-US"/>
        </w:rPr>
        <w:t>−1</w:t>
      </w:r>
      <w:r>
        <w:rPr>
          <w:rFonts w:hint="eastAsia"/>
          <w:lang w:val="en-US"/>
        </w:rPr>
        <w:t xml:space="preserve"> </w:t>
      </w:r>
      <w:r>
        <w:rPr>
          <w:lang w:val="en-US"/>
        </w:rPr>
        <w:t>cm</w:t>
      </w:r>
      <w:r>
        <w:rPr>
          <w:vertAlign w:val="superscript"/>
          <w:lang w:val="en-US"/>
        </w:rPr>
        <w:t>−2</w:t>
      </w:r>
      <w:r>
        <w:rPr>
          <w:lang w:val="en-US"/>
        </w:rPr>
        <w:t>, which is, as expected, the same value as that obtained using the file ‘AbdomenAP_Spectra.xlsx’ as described in Section 6.1 above. By using this method one can obtain the effective dose coefficient.</w:t>
      </w:r>
    </w:p>
    <w:p w14:paraId="163D3727" w14:textId="77777777" w:rsidR="00E72CA9" w:rsidRDefault="00D516E3">
      <w:pPr>
        <w:pStyle w:val="ICRPnumberedparagraph"/>
        <w:tabs>
          <w:tab w:val="clear" w:pos="5322"/>
        </w:tabs>
        <w:ind w:left="0"/>
        <w:rPr>
          <w:lang w:val="en-US"/>
        </w:rPr>
      </w:pPr>
      <w:r>
        <w:rPr>
          <w:lang w:val="en-US"/>
        </w:rPr>
        <w:t>Use of other spectrum programs, for example using data obtained from the IPEM Report 78 program (Sutton, 2015), will produce slightly different results. For example, in the calculation performed here, using the IPEM Report 78 software results in an estimate of colon dose per KAP of 0.45 mGy Gy</w:t>
      </w:r>
      <w:r>
        <w:rPr>
          <w:vertAlign w:val="superscript"/>
          <w:lang w:val="en-US"/>
        </w:rPr>
        <w:t>−1</w:t>
      </w:r>
      <w:r>
        <w:rPr>
          <w:rFonts w:hint="eastAsia"/>
          <w:lang w:val="en-US"/>
        </w:rPr>
        <w:t xml:space="preserve"> </w:t>
      </w:r>
      <w:r>
        <w:rPr>
          <w:lang w:val="en-US"/>
        </w:rPr>
        <w:t>cm</w:t>
      </w:r>
      <w:r>
        <w:rPr>
          <w:vertAlign w:val="superscript"/>
          <w:lang w:val="en-US"/>
        </w:rPr>
        <w:t>−2</w:t>
      </w:r>
      <w:r>
        <w:rPr>
          <w:lang w:val="en-US"/>
        </w:rPr>
        <w:t xml:space="preserve">. </w:t>
      </w:r>
    </w:p>
    <w:p w14:paraId="4579842C" w14:textId="77777777" w:rsidR="00E72CA9" w:rsidRDefault="00D516E3">
      <w:pPr>
        <w:pStyle w:val="ICRPnumberedparagraph"/>
        <w:tabs>
          <w:tab w:val="clear" w:pos="5322"/>
        </w:tabs>
        <w:ind w:left="0"/>
        <w:rPr>
          <w:lang w:val="en-US"/>
        </w:rPr>
      </w:pPr>
      <w:r>
        <w:rPr>
          <w:lang w:val="en-US"/>
        </w:rPr>
        <w:t>If spectra are not available at 1 keV intervals, then they must be amended to be so. This applies, for example in the IPEM Report 78 software (Sutton, 2015), which produces output at 0.5 keV intervals. In this case each consecutive pair of fluence values should be summed prior to performing the convolution.</w:t>
      </w:r>
    </w:p>
    <w:p w14:paraId="61D05DE1" w14:textId="77777777" w:rsidR="00E72CA9" w:rsidRDefault="00E72CA9">
      <w:pPr>
        <w:pStyle w:val="ICRPnumberedparagraph"/>
        <w:numPr>
          <w:ilvl w:val="0"/>
          <w:numId w:val="0"/>
        </w:numPr>
        <w:ind w:left="284"/>
        <w:rPr>
          <w:lang w:val="en-US"/>
        </w:rPr>
      </w:pPr>
    </w:p>
    <w:p w14:paraId="11AE6F09" w14:textId="77777777" w:rsidR="00E72CA9" w:rsidRDefault="00E72CA9"/>
    <w:p w14:paraId="6BE66E21" w14:textId="77777777" w:rsidR="00E72CA9" w:rsidRDefault="00D516E3">
      <w:r>
        <w:rPr>
          <w:noProof/>
        </w:rPr>
        <w:lastRenderedPageBreak/>
        <w:drawing>
          <wp:inline distT="0" distB="0" distL="0" distR="0" wp14:anchorId="7C5CCC35" wp14:editId="0F130A63">
            <wp:extent cx="4876951" cy="846582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83061" cy="8476427"/>
                    </a:xfrm>
                    <a:prstGeom prst="rect">
                      <a:avLst/>
                    </a:prstGeom>
                    <a:noFill/>
                    <a:ln>
                      <a:noFill/>
                    </a:ln>
                  </pic:spPr>
                </pic:pic>
              </a:graphicData>
            </a:graphic>
          </wp:inline>
        </w:drawing>
      </w:r>
    </w:p>
    <w:p w14:paraId="021BDB3B" w14:textId="77777777" w:rsidR="00E72CA9" w:rsidRDefault="00E72CA9"/>
    <w:p w14:paraId="01B62800" w14:textId="77777777" w:rsidR="00E72CA9" w:rsidRDefault="00D516E3">
      <w:r>
        <w:t xml:space="preserve">Fig. 6.1: Flow </w:t>
      </w:r>
      <w:r>
        <w:rPr>
          <w:sz w:val="22"/>
        </w:rPr>
        <w:t xml:space="preserve">chart demonstrating the convolution process. </w:t>
      </w:r>
    </w:p>
    <w:p w14:paraId="44293901" w14:textId="77777777" w:rsidR="00E72CA9" w:rsidRDefault="00E72CA9">
      <w:pPr>
        <w:sectPr w:rsidR="00E72CA9">
          <w:headerReference w:type="even" r:id="rId25"/>
          <w:headerReference w:type="default" r:id="rId26"/>
          <w:footerReference w:type="even" r:id="rId27"/>
          <w:footerReference w:type="default" r:id="rId28"/>
          <w:type w:val="continuous"/>
          <w:pgSz w:w="11906" w:h="16838"/>
          <w:pgMar w:top="1440" w:right="1440" w:bottom="1440" w:left="1440" w:header="708" w:footer="708" w:gutter="0"/>
          <w:lnNumType w:countBy="1" w:restart="continuous"/>
          <w:cols w:space="708"/>
          <w:docGrid w:linePitch="360"/>
        </w:sectPr>
      </w:pPr>
    </w:p>
    <w:p w14:paraId="7C7CC441" w14:textId="77777777" w:rsidR="00E72CA9" w:rsidRDefault="00D516E3">
      <w:bookmarkStart w:id="128" w:name="_Hlk158900701"/>
      <w:r>
        <w:lastRenderedPageBreak/>
        <w:t xml:space="preserve">Table 6.1. Example of convolution for abdomen </w:t>
      </w:r>
      <w:r>
        <w:rPr>
          <w:snapToGrid w:val="0"/>
          <w:szCs w:val="20"/>
          <w:lang w:eastAsia="sv-SE"/>
        </w:rPr>
        <w:t>anterior-posterior (</w:t>
      </w:r>
      <w:r>
        <w:t>AP) examination on the adult male phantom. The example employs the monoenergetic data given in the electronic supplement (AbdomenAP_mono.xlsx) and demonstrates the method for estimating the absorbed dose coefficients of the colon</w:t>
      </w:r>
      <w:r>
        <w:rPr>
          <w:vertAlign w:val="superscript"/>
        </w:rPr>
        <w:t>¶</w:t>
      </w:r>
      <w:r>
        <w:t>. Capital letters (A, B, C, X, Y) refer to those used in Fig. 6.1.</w:t>
      </w:r>
    </w:p>
    <w:p w14:paraId="5981F590" w14:textId="77777777" w:rsidR="00E72CA9" w:rsidRDefault="00E72CA9">
      <w:pPr>
        <w:jc w:val="both"/>
      </w:pPr>
    </w:p>
    <w:tbl>
      <w:tblPr>
        <w:tblStyle w:val="a8"/>
        <w:tblW w:w="0" w:type="auto"/>
        <w:tblBorders>
          <w:left w:val="none" w:sz="0" w:space="0" w:color="auto"/>
          <w:right w:val="none" w:sz="0" w:space="0" w:color="auto"/>
          <w:insideH w:val="none" w:sz="0" w:space="0" w:color="auto"/>
          <w:insideV w:val="none" w:sz="0" w:space="0" w:color="auto"/>
        </w:tblBorders>
        <w:tblLook w:val="0640" w:firstRow="0" w:lastRow="1" w:firstColumn="0" w:lastColumn="0" w:noHBand="1" w:noVBand="1"/>
      </w:tblPr>
      <w:tblGrid>
        <w:gridCol w:w="913"/>
        <w:gridCol w:w="1497"/>
        <w:gridCol w:w="1701"/>
        <w:gridCol w:w="2693"/>
        <w:gridCol w:w="1985"/>
        <w:gridCol w:w="2835"/>
        <w:gridCol w:w="2334"/>
      </w:tblGrid>
      <w:tr w:rsidR="00E72CA9" w14:paraId="6C8B293E" w14:textId="77777777">
        <w:tc>
          <w:tcPr>
            <w:tcW w:w="913" w:type="dxa"/>
            <w:tcBorders>
              <w:bottom w:val="single" w:sz="4" w:space="0" w:color="auto"/>
            </w:tcBorders>
            <w:vAlign w:val="bottom"/>
          </w:tcPr>
          <w:p w14:paraId="69B66A34" w14:textId="77777777" w:rsidR="00E72CA9" w:rsidRDefault="00D516E3">
            <w:r>
              <w:t>Voltage</w:t>
            </w:r>
          </w:p>
          <w:p w14:paraId="16154561" w14:textId="77777777" w:rsidR="00E72CA9" w:rsidRDefault="00D516E3">
            <w:r>
              <w:t>(keV)</w:t>
            </w:r>
          </w:p>
          <w:p w14:paraId="491350B6" w14:textId="77777777" w:rsidR="00E72CA9" w:rsidRDefault="00E72CA9"/>
          <w:p w14:paraId="050C31FC" w14:textId="77777777" w:rsidR="00E72CA9" w:rsidRDefault="00E72CA9"/>
        </w:tc>
        <w:tc>
          <w:tcPr>
            <w:tcW w:w="1497" w:type="dxa"/>
            <w:tcBorders>
              <w:bottom w:val="single" w:sz="4" w:space="0" w:color="auto"/>
            </w:tcBorders>
            <w:vAlign w:val="bottom"/>
          </w:tcPr>
          <w:p w14:paraId="3FE6382F" w14:textId="77777777" w:rsidR="00E72CA9" w:rsidRDefault="00D516E3">
            <w:r>
              <w:t>Fluence</w:t>
            </w:r>
            <w:r>
              <w:rPr>
                <w:sz w:val="24"/>
                <w:vertAlign w:val="superscript"/>
              </w:rPr>
              <w:t>*</w:t>
            </w:r>
          </w:p>
          <w:p w14:paraId="7E064048" w14:textId="77777777" w:rsidR="00E72CA9" w:rsidRDefault="00D516E3">
            <w:r>
              <w:t>(cm</w:t>
            </w:r>
            <w:r>
              <w:rPr>
                <w:vertAlign w:val="superscript"/>
              </w:rPr>
              <w:t>−2</w:t>
            </w:r>
            <w:r>
              <w:t xml:space="preserve">) </w:t>
            </w:r>
          </w:p>
          <w:p w14:paraId="50DD08DC" w14:textId="77777777" w:rsidR="00E72CA9" w:rsidRDefault="00E72CA9"/>
          <w:p w14:paraId="4AA9BFC1" w14:textId="77777777" w:rsidR="00E72CA9" w:rsidRDefault="00E72CA9"/>
        </w:tc>
        <w:tc>
          <w:tcPr>
            <w:tcW w:w="1701" w:type="dxa"/>
            <w:tcBorders>
              <w:bottom w:val="single" w:sz="4" w:space="0" w:color="auto"/>
            </w:tcBorders>
            <w:vAlign w:val="bottom"/>
          </w:tcPr>
          <w:p w14:paraId="6D2E352A" w14:textId="77777777" w:rsidR="00E72CA9" w:rsidRDefault="00D516E3">
            <w:r>
              <w:t>Relative number of photons</w:t>
            </w:r>
            <w:r>
              <w:rPr>
                <w:sz w:val="24"/>
                <w:vertAlign w:val="superscript"/>
              </w:rPr>
              <w:t>†</w:t>
            </w:r>
          </w:p>
          <w:p w14:paraId="20BA753C" w14:textId="77777777" w:rsidR="00E72CA9" w:rsidRDefault="00E72CA9">
            <w:pPr>
              <w:rPr>
                <w:bCs/>
              </w:rPr>
            </w:pPr>
          </w:p>
          <w:p w14:paraId="2C3044B5" w14:textId="77777777" w:rsidR="00E72CA9" w:rsidRDefault="00D516E3">
            <w:r>
              <w:t>(A)</w:t>
            </w:r>
          </w:p>
        </w:tc>
        <w:tc>
          <w:tcPr>
            <w:tcW w:w="2693" w:type="dxa"/>
            <w:tcBorders>
              <w:bottom w:val="single" w:sz="4" w:space="0" w:color="auto"/>
            </w:tcBorders>
            <w:vAlign w:val="bottom"/>
          </w:tcPr>
          <w:p w14:paraId="52C89949" w14:textId="77777777" w:rsidR="00E72CA9" w:rsidRDefault="00D516E3">
            <w:r>
              <w:t xml:space="preserve">Colon dose, </w:t>
            </w:r>
            <w:r>
              <w:rPr>
                <w:i/>
              </w:rPr>
              <w:t>D</w:t>
            </w:r>
            <w:r>
              <w:t xml:space="preserve">, </w:t>
            </w:r>
          </w:p>
          <w:p w14:paraId="74AD74EF" w14:textId="77777777" w:rsidR="00E72CA9" w:rsidRDefault="00D516E3">
            <w:pPr>
              <w:rPr>
                <w:vertAlign w:val="superscript"/>
              </w:rPr>
            </w:pPr>
            <w:r>
              <w:t xml:space="preserve">per </w:t>
            </w:r>
            <w:proofErr w:type="spellStart"/>
            <w:r>
              <w:t>fluence</w:t>
            </w:r>
            <w:r>
              <w:rPr>
                <w:vertAlign w:val="superscript"/>
              </w:rPr>
              <w:t>ǂ</w:t>
            </w:r>
            <w:proofErr w:type="spellEnd"/>
            <w:r>
              <w:rPr>
                <w:vertAlign w:val="superscript"/>
              </w:rPr>
              <w:t xml:space="preserve"> </w:t>
            </w:r>
          </w:p>
          <w:p w14:paraId="3D6BF8D9" w14:textId="77777777" w:rsidR="00E72CA9" w:rsidRDefault="00D516E3">
            <w:pPr>
              <w:rPr>
                <w:vertAlign w:val="superscript"/>
              </w:rPr>
            </w:pPr>
            <w:r>
              <w:t>(mGy cm</w:t>
            </w:r>
            <w:r>
              <w:rPr>
                <w:vertAlign w:val="superscript"/>
              </w:rPr>
              <w:t>2</w:t>
            </w:r>
            <w:r>
              <w:t>)</w:t>
            </w:r>
          </w:p>
          <w:p w14:paraId="723678C4" w14:textId="77777777" w:rsidR="00E72CA9" w:rsidRDefault="00D516E3">
            <w:r>
              <w:rPr>
                <w:bCs/>
              </w:rPr>
              <w:t>(B)</w:t>
            </w:r>
          </w:p>
        </w:tc>
        <w:tc>
          <w:tcPr>
            <w:tcW w:w="1985" w:type="dxa"/>
            <w:tcBorders>
              <w:bottom w:val="single" w:sz="4" w:space="0" w:color="auto"/>
            </w:tcBorders>
            <w:vAlign w:val="bottom"/>
          </w:tcPr>
          <w:p w14:paraId="2EC3F289" w14:textId="77777777" w:rsidR="00E72CA9" w:rsidRDefault="00D516E3">
            <w:r>
              <w:t xml:space="preserve">Fluence weighted colon dose, </w:t>
            </w:r>
            <w:r>
              <w:rPr>
                <w:i/>
              </w:rPr>
              <w:t>D</w:t>
            </w:r>
            <w:r>
              <w:t>, (mGy)</w:t>
            </w:r>
          </w:p>
          <w:p w14:paraId="2E3C4B03" w14:textId="77777777" w:rsidR="00E72CA9" w:rsidRDefault="00D516E3">
            <w:r>
              <w:t>(</w:t>
            </w:r>
            <w:r>
              <w:rPr>
                <w:bCs/>
              </w:rPr>
              <w:t xml:space="preserve">A </w:t>
            </w:r>
            <w:r>
              <w:t>×</w:t>
            </w:r>
            <w:r>
              <w:rPr>
                <w:bCs/>
              </w:rPr>
              <w:t xml:space="preserve"> B</w:t>
            </w:r>
            <w:r>
              <w:t>)</w:t>
            </w:r>
          </w:p>
        </w:tc>
        <w:tc>
          <w:tcPr>
            <w:tcW w:w="2835" w:type="dxa"/>
            <w:tcBorders>
              <w:bottom w:val="single" w:sz="4" w:space="0" w:color="auto"/>
            </w:tcBorders>
            <w:vAlign w:val="bottom"/>
          </w:tcPr>
          <w:p w14:paraId="5A167261" w14:textId="77777777" w:rsidR="00E72CA9" w:rsidRDefault="00D516E3">
            <w:pPr>
              <w:rPr>
                <w:vertAlign w:val="superscript"/>
              </w:rPr>
            </w:pPr>
            <w:r>
              <w:t>Air kerma per fluence in the reference plane</w:t>
            </w:r>
            <w:r>
              <w:rPr>
                <w:vertAlign w:val="superscript"/>
              </w:rPr>
              <w:t xml:space="preserve">§ </w:t>
            </w:r>
            <w:r>
              <w:t>(Gy cm</w:t>
            </w:r>
            <w:r>
              <w:rPr>
                <w:vertAlign w:val="superscript"/>
              </w:rPr>
              <w:t>2</w:t>
            </w:r>
            <w:r>
              <w:t>)</w:t>
            </w:r>
          </w:p>
          <w:p w14:paraId="2A2EC73C" w14:textId="77777777" w:rsidR="00E72CA9" w:rsidRDefault="00E72CA9">
            <w:pPr>
              <w:rPr>
                <w:bCs/>
              </w:rPr>
            </w:pPr>
          </w:p>
          <w:p w14:paraId="5F9E1406" w14:textId="77777777" w:rsidR="00E72CA9" w:rsidRDefault="00D516E3">
            <w:r>
              <w:t>(C)</w:t>
            </w:r>
          </w:p>
        </w:tc>
        <w:tc>
          <w:tcPr>
            <w:tcW w:w="2334" w:type="dxa"/>
            <w:tcBorders>
              <w:bottom w:val="single" w:sz="4" w:space="0" w:color="auto"/>
            </w:tcBorders>
            <w:vAlign w:val="bottom"/>
          </w:tcPr>
          <w:p w14:paraId="4E73121B" w14:textId="77777777" w:rsidR="00E72CA9" w:rsidRDefault="00D516E3">
            <w:r>
              <w:t>Weighted air kerma in the reference plane (mGy)</w:t>
            </w:r>
          </w:p>
          <w:p w14:paraId="2F8A6D2D" w14:textId="77777777" w:rsidR="00E72CA9" w:rsidRDefault="00D516E3">
            <w:r>
              <w:t>(</w:t>
            </w:r>
            <w:r>
              <w:rPr>
                <w:bCs/>
              </w:rPr>
              <w:t xml:space="preserve">A </w:t>
            </w:r>
            <w:r>
              <w:t>×</w:t>
            </w:r>
            <w:r>
              <w:rPr>
                <w:bCs/>
              </w:rPr>
              <w:t xml:space="preserve"> C</w:t>
            </w:r>
            <w:r>
              <w:t>)</w:t>
            </w:r>
          </w:p>
        </w:tc>
      </w:tr>
      <w:tr w:rsidR="00E72CA9" w14:paraId="764E0D0A" w14:textId="77777777">
        <w:tc>
          <w:tcPr>
            <w:tcW w:w="913" w:type="dxa"/>
            <w:tcBorders>
              <w:top w:val="single" w:sz="4" w:space="0" w:color="auto"/>
            </w:tcBorders>
          </w:tcPr>
          <w:p w14:paraId="31BA1DD2" w14:textId="77777777" w:rsidR="00E72CA9" w:rsidRDefault="00D516E3">
            <w:r>
              <w:t>1</w:t>
            </w:r>
          </w:p>
        </w:tc>
        <w:tc>
          <w:tcPr>
            <w:tcW w:w="1497" w:type="dxa"/>
            <w:tcBorders>
              <w:top w:val="single" w:sz="4" w:space="0" w:color="auto"/>
            </w:tcBorders>
          </w:tcPr>
          <w:p w14:paraId="4C16C327" w14:textId="77777777" w:rsidR="00E72CA9" w:rsidRDefault="00D516E3">
            <w:r>
              <w:t>0</w:t>
            </w:r>
          </w:p>
        </w:tc>
        <w:tc>
          <w:tcPr>
            <w:tcW w:w="1701" w:type="dxa"/>
            <w:tcBorders>
              <w:top w:val="single" w:sz="4" w:space="0" w:color="auto"/>
            </w:tcBorders>
          </w:tcPr>
          <w:p w14:paraId="20497C0C" w14:textId="77777777" w:rsidR="00E72CA9" w:rsidRDefault="00D516E3">
            <w:r>
              <w:t>0</w:t>
            </w:r>
          </w:p>
        </w:tc>
        <w:tc>
          <w:tcPr>
            <w:tcW w:w="2693" w:type="dxa"/>
            <w:tcBorders>
              <w:top w:val="single" w:sz="4" w:space="0" w:color="auto"/>
            </w:tcBorders>
          </w:tcPr>
          <w:p w14:paraId="3E2899C6" w14:textId="77777777" w:rsidR="00E72CA9" w:rsidRDefault="00D516E3">
            <w:r>
              <w:t>0</w:t>
            </w:r>
          </w:p>
        </w:tc>
        <w:tc>
          <w:tcPr>
            <w:tcW w:w="1985" w:type="dxa"/>
            <w:tcBorders>
              <w:top w:val="single" w:sz="4" w:space="0" w:color="auto"/>
            </w:tcBorders>
          </w:tcPr>
          <w:p w14:paraId="36A00A5C" w14:textId="77777777" w:rsidR="00E72CA9" w:rsidRDefault="00D516E3">
            <w:pPr>
              <w:rPr>
                <w:color w:val="000000"/>
              </w:rPr>
            </w:pPr>
            <w:r>
              <w:rPr>
                <w:color w:val="000000"/>
              </w:rPr>
              <w:t>0</w:t>
            </w:r>
          </w:p>
        </w:tc>
        <w:tc>
          <w:tcPr>
            <w:tcW w:w="2835" w:type="dxa"/>
            <w:tcBorders>
              <w:top w:val="single" w:sz="4" w:space="0" w:color="auto"/>
            </w:tcBorders>
          </w:tcPr>
          <w:p w14:paraId="34BA4590" w14:textId="77777777" w:rsidR="00E72CA9" w:rsidRDefault="00D516E3">
            <w:pPr>
              <w:rPr>
                <w:color w:val="000000"/>
              </w:rPr>
            </w:pPr>
            <w:r>
              <w:rPr>
                <w:color w:val="000000"/>
              </w:rPr>
              <w:t>5.77</w:t>
            </w:r>
            <w:r>
              <w:t>×10</w:t>
            </w:r>
            <w:r>
              <w:rPr>
                <w:vertAlign w:val="superscript"/>
              </w:rPr>
              <w:t>−</w:t>
            </w:r>
            <w:r>
              <w:rPr>
                <w:color w:val="000000"/>
                <w:vertAlign w:val="superscript"/>
              </w:rPr>
              <w:t>10</w:t>
            </w:r>
          </w:p>
        </w:tc>
        <w:tc>
          <w:tcPr>
            <w:tcW w:w="2334" w:type="dxa"/>
            <w:tcBorders>
              <w:top w:val="single" w:sz="4" w:space="0" w:color="auto"/>
            </w:tcBorders>
          </w:tcPr>
          <w:p w14:paraId="690B6C7E" w14:textId="77777777" w:rsidR="00E72CA9" w:rsidRDefault="00D516E3">
            <w:r>
              <w:t>0</w:t>
            </w:r>
          </w:p>
        </w:tc>
      </w:tr>
      <w:tr w:rsidR="00E72CA9" w14:paraId="6E5DB057" w14:textId="77777777">
        <w:tc>
          <w:tcPr>
            <w:tcW w:w="913" w:type="dxa"/>
          </w:tcPr>
          <w:p w14:paraId="2B572EB9" w14:textId="77777777" w:rsidR="00E72CA9" w:rsidRDefault="00D516E3">
            <w:r>
              <w:t>⁝</w:t>
            </w:r>
          </w:p>
        </w:tc>
        <w:tc>
          <w:tcPr>
            <w:tcW w:w="1497" w:type="dxa"/>
          </w:tcPr>
          <w:p w14:paraId="4AA82CDF" w14:textId="77777777" w:rsidR="00E72CA9" w:rsidRDefault="00D516E3">
            <w:r>
              <w:t>⁝</w:t>
            </w:r>
          </w:p>
        </w:tc>
        <w:tc>
          <w:tcPr>
            <w:tcW w:w="1701" w:type="dxa"/>
          </w:tcPr>
          <w:p w14:paraId="30CE53A9" w14:textId="77777777" w:rsidR="00E72CA9" w:rsidRDefault="00D516E3">
            <w:r>
              <w:t>⁝</w:t>
            </w:r>
          </w:p>
        </w:tc>
        <w:tc>
          <w:tcPr>
            <w:tcW w:w="2693" w:type="dxa"/>
          </w:tcPr>
          <w:p w14:paraId="766C3C67" w14:textId="77777777" w:rsidR="00E72CA9" w:rsidRDefault="00D516E3">
            <w:r>
              <w:t>⁝</w:t>
            </w:r>
          </w:p>
        </w:tc>
        <w:tc>
          <w:tcPr>
            <w:tcW w:w="1985" w:type="dxa"/>
          </w:tcPr>
          <w:p w14:paraId="31563C98" w14:textId="77777777" w:rsidR="00E72CA9" w:rsidRDefault="00D516E3">
            <w:r>
              <w:t>⁝</w:t>
            </w:r>
          </w:p>
        </w:tc>
        <w:tc>
          <w:tcPr>
            <w:tcW w:w="2835" w:type="dxa"/>
          </w:tcPr>
          <w:p w14:paraId="545F72C0" w14:textId="77777777" w:rsidR="00E72CA9" w:rsidRDefault="00D516E3">
            <w:r>
              <w:t>⁝</w:t>
            </w:r>
          </w:p>
        </w:tc>
        <w:tc>
          <w:tcPr>
            <w:tcW w:w="2334" w:type="dxa"/>
          </w:tcPr>
          <w:p w14:paraId="6CC2204A" w14:textId="77777777" w:rsidR="00E72CA9" w:rsidRDefault="00D516E3">
            <w:r>
              <w:t>⁝</w:t>
            </w:r>
          </w:p>
        </w:tc>
      </w:tr>
      <w:tr w:rsidR="00E72CA9" w14:paraId="6F99FC67" w14:textId="77777777">
        <w:tc>
          <w:tcPr>
            <w:tcW w:w="913" w:type="dxa"/>
          </w:tcPr>
          <w:p w14:paraId="1B42E461" w14:textId="77777777" w:rsidR="00E72CA9" w:rsidRDefault="00D516E3">
            <w:r>
              <w:t>8</w:t>
            </w:r>
          </w:p>
        </w:tc>
        <w:tc>
          <w:tcPr>
            <w:tcW w:w="1497" w:type="dxa"/>
          </w:tcPr>
          <w:p w14:paraId="704030EE" w14:textId="77777777" w:rsidR="00E72CA9" w:rsidRDefault="00D516E3">
            <w:r>
              <w:t>7.53×10</w:t>
            </w:r>
            <w:r>
              <w:rPr>
                <w:vertAlign w:val="superscript"/>
              </w:rPr>
              <w:t>−14</w:t>
            </w:r>
          </w:p>
        </w:tc>
        <w:tc>
          <w:tcPr>
            <w:tcW w:w="1701" w:type="dxa"/>
          </w:tcPr>
          <w:p w14:paraId="69A2168A" w14:textId="77777777" w:rsidR="00E72CA9" w:rsidRDefault="00D516E3">
            <w:r>
              <w:t>7.15×10</w:t>
            </w:r>
            <w:r>
              <w:rPr>
                <w:vertAlign w:val="superscript"/>
              </w:rPr>
              <w:t>−22</w:t>
            </w:r>
          </w:p>
        </w:tc>
        <w:tc>
          <w:tcPr>
            <w:tcW w:w="2693" w:type="dxa"/>
          </w:tcPr>
          <w:p w14:paraId="0A47A48C" w14:textId="77777777" w:rsidR="00E72CA9" w:rsidRDefault="00D516E3">
            <w:r>
              <w:t>2.47×10</w:t>
            </w:r>
            <w:r>
              <w:rPr>
                <w:vertAlign w:val="superscript"/>
              </w:rPr>
              <w:t>−14</w:t>
            </w:r>
          </w:p>
        </w:tc>
        <w:tc>
          <w:tcPr>
            <w:tcW w:w="1985" w:type="dxa"/>
          </w:tcPr>
          <w:p w14:paraId="79803E5C" w14:textId="77777777" w:rsidR="00E72CA9" w:rsidRDefault="00D516E3">
            <w:pPr>
              <w:rPr>
                <w:color w:val="000000"/>
              </w:rPr>
            </w:pPr>
            <w:r>
              <w:t>1.76×10</w:t>
            </w:r>
            <w:r>
              <w:rPr>
                <w:vertAlign w:val="superscript"/>
              </w:rPr>
              <w:t>−35</w:t>
            </w:r>
          </w:p>
        </w:tc>
        <w:tc>
          <w:tcPr>
            <w:tcW w:w="2835" w:type="dxa"/>
            <w:vAlign w:val="bottom"/>
          </w:tcPr>
          <w:p w14:paraId="47E555C5" w14:textId="77777777" w:rsidR="00E72CA9" w:rsidRDefault="00D516E3">
            <w:r>
              <w:rPr>
                <w:color w:val="000000"/>
              </w:rPr>
              <w:t>1.21</w:t>
            </w:r>
            <w:r>
              <w:t>×10</w:t>
            </w:r>
            <w:r>
              <w:rPr>
                <w:vertAlign w:val="superscript"/>
              </w:rPr>
              <w:t>−</w:t>
            </w:r>
            <w:r>
              <w:rPr>
                <w:color w:val="000000"/>
                <w:vertAlign w:val="superscript"/>
              </w:rPr>
              <w:t>11</w:t>
            </w:r>
          </w:p>
        </w:tc>
        <w:tc>
          <w:tcPr>
            <w:tcW w:w="2334" w:type="dxa"/>
            <w:vAlign w:val="bottom"/>
          </w:tcPr>
          <w:p w14:paraId="44183444" w14:textId="77777777" w:rsidR="00E72CA9" w:rsidRDefault="00D516E3">
            <w:r>
              <w:rPr>
                <w:color w:val="000000"/>
              </w:rPr>
              <w:t>8.65</w:t>
            </w:r>
            <w:r>
              <w:t>×10</w:t>
            </w:r>
            <w:r>
              <w:rPr>
                <w:vertAlign w:val="superscript"/>
              </w:rPr>
              <w:t>−</w:t>
            </w:r>
            <w:r>
              <w:rPr>
                <w:color w:val="000000"/>
                <w:vertAlign w:val="superscript"/>
              </w:rPr>
              <w:t>33</w:t>
            </w:r>
          </w:p>
        </w:tc>
      </w:tr>
      <w:tr w:rsidR="00E72CA9" w14:paraId="556D514A" w14:textId="77777777">
        <w:tc>
          <w:tcPr>
            <w:tcW w:w="913" w:type="dxa"/>
          </w:tcPr>
          <w:p w14:paraId="0174E43F" w14:textId="77777777" w:rsidR="00E72CA9" w:rsidRDefault="00D516E3">
            <w:r>
              <w:t>9</w:t>
            </w:r>
          </w:p>
        </w:tc>
        <w:tc>
          <w:tcPr>
            <w:tcW w:w="1497" w:type="dxa"/>
          </w:tcPr>
          <w:p w14:paraId="7C64FCDB" w14:textId="77777777" w:rsidR="00E72CA9" w:rsidRDefault="00D516E3">
            <w:r>
              <w:t>4.48×10</w:t>
            </w:r>
            <w:r>
              <w:rPr>
                <w:vertAlign w:val="superscript"/>
              </w:rPr>
              <w:t>−8</w:t>
            </w:r>
          </w:p>
        </w:tc>
        <w:tc>
          <w:tcPr>
            <w:tcW w:w="1701" w:type="dxa"/>
          </w:tcPr>
          <w:p w14:paraId="494551B3" w14:textId="77777777" w:rsidR="00E72CA9" w:rsidRDefault="00D516E3">
            <w:r>
              <w:t>4.26×10</w:t>
            </w:r>
            <w:r>
              <w:rPr>
                <w:vertAlign w:val="superscript"/>
              </w:rPr>
              <w:t>−16</w:t>
            </w:r>
          </w:p>
        </w:tc>
        <w:tc>
          <w:tcPr>
            <w:tcW w:w="2693" w:type="dxa"/>
          </w:tcPr>
          <w:p w14:paraId="035C13E0" w14:textId="77777777" w:rsidR="00E72CA9" w:rsidRDefault="00D516E3">
            <w:r>
              <w:t>1.02×10</w:t>
            </w:r>
            <w:r>
              <w:rPr>
                <w:vertAlign w:val="superscript"/>
              </w:rPr>
              <w:t>−13</w:t>
            </w:r>
          </w:p>
        </w:tc>
        <w:tc>
          <w:tcPr>
            <w:tcW w:w="1985" w:type="dxa"/>
          </w:tcPr>
          <w:p w14:paraId="7E7335AA" w14:textId="77777777" w:rsidR="00E72CA9" w:rsidRDefault="00D516E3">
            <w:pPr>
              <w:rPr>
                <w:color w:val="000000"/>
              </w:rPr>
            </w:pPr>
            <w:r>
              <w:t>4.35×10</w:t>
            </w:r>
            <w:r>
              <w:rPr>
                <w:vertAlign w:val="superscript"/>
              </w:rPr>
              <w:t>−29</w:t>
            </w:r>
          </w:p>
        </w:tc>
        <w:tc>
          <w:tcPr>
            <w:tcW w:w="2835" w:type="dxa"/>
            <w:vAlign w:val="bottom"/>
          </w:tcPr>
          <w:p w14:paraId="24DEAAED" w14:textId="77777777" w:rsidR="00E72CA9" w:rsidRDefault="00D516E3">
            <w:r>
              <w:rPr>
                <w:color w:val="000000"/>
              </w:rPr>
              <w:t>9.48</w:t>
            </w:r>
            <w:r>
              <w:t>×10</w:t>
            </w:r>
            <w:r>
              <w:rPr>
                <w:vertAlign w:val="superscript"/>
              </w:rPr>
              <w:t>−</w:t>
            </w:r>
            <w:r>
              <w:rPr>
                <w:color w:val="000000"/>
                <w:vertAlign w:val="superscript"/>
              </w:rPr>
              <w:t>12</w:t>
            </w:r>
          </w:p>
        </w:tc>
        <w:tc>
          <w:tcPr>
            <w:tcW w:w="2334" w:type="dxa"/>
            <w:vAlign w:val="bottom"/>
          </w:tcPr>
          <w:p w14:paraId="0D501CCB" w14:textId="77777777" w:rsidR="00E72CA9" w:rsidRDefault="00D516E3">
            <w:r>
              <w:rPr>
                <w:color w:val="000000"/>
              </w:rPr>
              <w:t>4.04</w:t>
            </w:r>
            <w:r>
              <w:t>×10</w:t>
            </w:r>
            <w:r>
              <w:rPr>
                <w:vertAlign w:val="superscript"/>
              </w:rPr>
              <w:t>−</w:t>
            </w:r>
            <w:r>
              <w:rPr>
                <w:color w:val="000000"/>
                <w:vertAlign w:val="superscript"/>
              </w:rPr>
              <w:t>27</w:t>
            </w:r>
          </w:p>
        </w:tc>
      </w:tr>
      <w:tr w:rsidR="00E72CA9" w14:paraId="2274E0E6" w14:textId="77777777">
        <w:tc>
          <w:tcPr>
            <w:tcW w:w="913" w:type="dxa"/>
          </w:tcPr>
          <w:p w14:paraId="5DD470E7" w14:textId="77777777" w:rsidR="00E72CA9" w:rsidRDefault="00D516E3">
            <w:r>
              <w:t>10</w:t>
            </w:r>
          </w:p>
        </w:tc>
        <w:tc>
          <w:tcPr>
            <w:tcW w:w="1497" w:type="dxa"/>
          </w:tcPr>
          <w:p w14:paraId="39FC32C6" w14:textId="77777777" w:rsidR="00E72CA9" w:rsidRDefault="00D516E3">
            <w:r>
              <w:t>3.71×10</w:t>
            </w:r>
            <w:r>
              <w:rPr>
                <w:vertAlign w:val="superscript"/>
              </w:rPr>
              <w:t>−4</w:t>
            </w:r>
          </w:p>
        </w:tc>
        <w:tc>
          <w:tcPr>
            <w:tcW w:w="1701" w:type="dxa"/>
          </w:tcPr>
          <w:p w14:paraId="1B349C24" w14:textId="77777777" w:rsidR="00E72CA9" w:rsidRDefault="00D516E3">
            <w:r>
              <w:t>3.53×10</w:t>
            </w:r>
            <w:r>
              <w:rPr>
                <w:vertAlign w:val="superscript"/>
              </w:rPr>
              <w:t>−12</w:t>
            </w:r>
          </w:p>
        </w:tc>
        <w:tc>
          <w:tcPr>
            <w:tcW w:w="2693" w:type="dxa"/>
          </w:tcPr>
          <w:p w14:paraId="4C56CC1F" w14:textId="77777777" w:rsidR="00E72CA9" w:rsidRDefault="00D516E3">
            <w:r>
              <w:t>4.08×10</w:t>
            </w:r>
            <w:r>
              <w:rPr>
                <w:vertAlign w:val="superscript"/>
              </w:rPr>
              <w:t>−13</w:t>
            </w:r>
          </w:p>
        </w:tc>
        <w:tc>
          <w:tcPr>
            <w:tcW w:w="1985" w:type="dxa"/>
          </w:tcPr>
          <w:p w14:paraId="38E1A032" w14:textId="77777777" w:rsidR="00E72CA9" w:rsidRDefault="00D516E3">
            <w:pPr>
              <w:rPr>
                <w:color w:val="000000"/>
              </w:rPr>
            </w:pPr>
            <w:r>
              <w:t>1.44×10</w:t>
            </w:r>
            <w:r>
              <w:rPr>
                <w:vertAlign w:val="superscript"/>
              </w:rPr>
              <w:t>−24</w:t>
            </w:r>
          </w:p>
        </w:tc>
        <w:tc>
          <w:tcPr>
            <w:tcW w:w="2835" w:type="dxa"/>
            <w:vAlign w:val="bottom"/>
          </w:tcPr>
          <w:p w14:paraId="42CB7D53" w14:textId="77777777" w:rsidR="00E72CA9" w:rsidRDefault="00D516E3">
            <w:r>
              <w:rPr>
                <w:color w:val="000000"/>
              </w:rPr>
              <w:t>7.60</w:t>
            </w:r>
            <w:r>
              <w:t>×10</w:t>
            </w:r>
            <w:r>
              <w:rPr>
                <w:vertAlign w:val="superscript"/>
              </w:rPr>
              <w:t>−</w:t>
            </w:r>
            <w:r>
              <w:rPr>
                <w:color w:val="000000"/>
                <w:vertAlign w:val="superscript"/>
              </w:rPr>
              <w:t>12</w:t>
            </w:r>
          </w:p>
        </w:tc>
        <w:tc>
          <w:tcPr>
            <w:tcW w:w="2334" w:type="dxa"/>
            <w:vAlign w:val="bottom"/>
          </w:tcPr>
          <w:p w14:paraId="1393A6DB" w14:textId="77777777" w:rsidR="00E72CA9" w:rsidRDefault="00D516E3">
            <w:r>
              <w:rPr>
                <w:color w:val="000000"/>
              </w:rPr>
              <w:t>2.68</w:t>
            </w:r>
            <w:r>
              <w:t>×10</w:t>
            </w:r>
            <w:r>
              <w:rPr>
                <w:vertAlign w:val="superscript"/>
              </w:rPr>
              <w:t>−</w:t>
            </w:r>
            <w:r>
              <w:rPr>
                <w:color w:val="000000"/>
                <w:vertAlign w:val="superscript"/>
              </w:rPr>
              <w:t>23</w:t>
            </w:r>
          </w:p>
        </w:tc>
      </w:tr>
      <w:tr w:rsidR="00E72CA9" w14:paraId="534662BC" w14:textId="77777777">
        <w:tc>
          <w:tcPr>
            <w:tcW w:w="913" w:type="dxa"/>
          </w:tcPr>
          <w:p w14:paraId="78E49A03" w14:textId="77777777" w:rsidR="00E72CA9" w:rsidRDefault="00D516E3">
            <w:r>
              <w:t>11</w:t>
            </w:r>
          </w:p>
        </w:tc>
        <w:tc>
          <w:tcPr>
            <w:tcW w:w="1497" w:type="dxa"/>
          </w:tcPr>
          <w:p w14:paraId="74F569B6" w14:textId="77777777" w:rsidR="00E72CA9" w:rsidRDefault="00D516E3">
            <w:r>
              <w:t>8.09×10</w:t>
            </w:r>
            <w:r>
              <w:rPr>
                <w:vertAlign w:val="superscript"/>
              </w:rPr>
              <w:t>−2</w:t>
            </w:r>
          </w:p>
        </w:tc>
        <w:tc>
          <w:tcPr>
            <w:tcW w:w="1701" w:type="dxa"/>
          </w:tcPr>
          <w:p w14:paraId="05E55871" w14:textId="77777777" w:rsidR="00E72CA9" w:rsidRDefault="00D516E3">
            <w:r>
              <w:t>7.68×10</w:t>
            </w:r>
            <w:r>
              <w:rPr>
                <w:vertAlign w:val="superscript"/>
              </w:rPr>
              <w:t>−10</w:t>
            </w:r>
          </w:p>
        </w:tc>
        <w:tc>
          <w:tcPr>
            <w:tcW w:w="2693" w:type="dxa"/>
          </w:tcPr>
          <w:p w14:paraId="4A7E9B20" w14:textId="77777777" w:rsidR="00E72CA9" w:rsidRDefault="00D516E3">
            <w:r>
              <w:t>1.40×10</w:t>
            </w:r>
            <w:r>
              <w:rPr>
                <w:vertAlign w:val="superscript"/>
              </w:rPr>
              <w:t>−12</w:t>
            </w:r>
          </w:p>
        </w:tc>
        <w:tc>
          <w:tcPr>
            <w:tcW w:w="1985" w:type="dxa"/>
          </w:tcPr>
          <w:p w14:paraId="7611FDAD" w14:textId="77777777" w:rsidR="00E72CA9" w:rsidRDefault="00D516E3">
            <w:pPr>
              <w:rPr>
                <w:color w:val="000000"/>
              </w:rPr>
            </w:pPr>
            <w:r>
              <w:t>1.08×10</w:t>
            </w:r>
            <w:r>
              <w:rPr>
                <w:vertAlign w:val="superscript"/>
              </w:rPr>
              <w:t>−21</w:t>
            </w:r>
          </w:p>
        </w:tc>
        <w:tc>
          <w:tcPr>
            <w:tcW w:w="2835" w:type="dxa"/>
            <w:vAlign w:val="bottom"/>
          </w:tcPr>
          <w:p w14:paraId="2B3DDAFF" w14:textId="77777777" w:rsidR="00E72CA9" w:rsidRDefault="00D516E3">
            <w:r>
              <w:rPr>
                <w:color w:val="000000"/>
              </w:rPr>
              <w:t>6.21</w:t>
            </w:r>
            <w:r>
              <w:t>×10</w:t>
            </w:r>
            <w:r>
              <w:rPr>
                <w:vertAlign w:val="superscript"/>
              </w:rPr>
              <w:t>−</w:t>
            </w:r>
            <w:r>
              <w:rPr>
                <w:color w:val="000000"/>
                <w:vertAlign w:val="superscript"/>
              </w:rPr>
              <w:t>12</w:t>
            </w:r>
          </w:p>
        </w:tc>
        <w:tc>
          <w:tcPr>
            <w:tcW w:w="2334" w:type="dxa"/>
            <w:vAlign w:val="bottom"/>
          </w:tcPr>
          <w:p w14:paraId="7F0739EE" w14:textId="77777777" w:rsidR="00E72CA9" w:rsidRDefault="00D516E3">
            <w:r>
              <w:rPr>
                <w:color w:val="000000"/>
              </w:rPr>
              <w:t>4.77</w:t>
            </w:r>
            <w:r>
              <w:t>×10</w:t>
            </w:r>
            <w:r>
              <w:rPr>
                <w:vertAlign w:val="superscript"/>
              </w:rPr>
              <w:t>−</w:t>
            </w:r>
            <w:r>
              <w:rPr>
                <w:color w:val="000000"/>
                <w:vertAlign w:val="superscript"/>
              </w:rPr>
              <w:t>21</w:t>
            </w:r>
          </w:p>
        </w:tc>
      </w:tr>
      <w:tr w:rsidR="00E72CA9" w14:paraId="6D04EBCA" w14:textId="77777777">
        <w:tc>
          <w:tcPr>
            <w:tcW w:w="913" w:type="dxa"/>
          </w:tcPr>
          <w:p w14:paraId="4E46A920" w14:textId="77777777" w:rsidR="00E72CA9" w:rsidRDefault="00D516E3">
            <w:r>
              <w:t>12</w:t>
            </w:r>
          </w:p>
        </w:tc>
        <w:tc>
          <w:tcPr>
            <w:tcW w:w="1497" w:type="dxa"/>
          </w:tcPr>
          <w:p w14:paraId="07D320DF" w14:textId="77777777" w:rsidR="00E72CA9" w:rsidRDefault="00D516E3">
            <w:r>
              <w:t>4.65</w:t>
            </w:r>
          </w:p>
        </w:tc>
        <w:tc>
          <w:tcPr>
            <w:tcW w:w="1701" w:type="dxa"/>
          </w:tcPr>
          <w:p w14:paraId="49A0C23C" w14:textId="77777777" w:rsidR="00E72CA9" w:rsidRDefault="00D516E3">
            <w:r>
              <w:t>4.41×10</w:t>
            </w:r>
            <w:r>
              <w:rPr>
                <w:vertAlign w:val="superscript"/>
              </w:rPr>
              <w:t>−8</w:t>
            </w:r>
          </w:p>
        </w:tc>
        <w:tc>
          <w:tcPr>
            <w:tcW w:w="2693" w:type="dxa"/>
          </w:tcPr>
          <w:p w14:paraId="37484C9E" w14:textId="77777777" w:rsidR="00E72CA9" w:rsidRDefault="00D516E3">
            <w:r>
              <w:t>3.36×10</w:t>
            </w:r>
            <w:r>
              <w:rPr>
                <w:vertAlign w:val="superscript"/>
              </w:rPr>
              <w:t>−12</w:t>
            </w:r>
          </w:p>
        </w:tc>
        <w:tc>
          <w:tcPr>
            <w:tcW w:w="1985" w:type="dxa"/>
          </w:tcPr>
          <w:p w14:paraId="6BB0148D" w14:textId="77777777" w:rsidR="00E72CA9" w:rsidRDefault="00D516E3">
            <w:pPr>
              <w:rPr>
                <w:color w:val="000000"/>
              </w:rPr>
            </w:pPr>
            <w:r>
              <w:t>1.48×10</w:t>
            </w:r>
            <w:r>
              <w:rPr>
                <w:vertAlign w:val="superscript"/>
              </w:rPr>
              <w:t>−19</w:t>
            </w:r>
          </w:p>
        </w:tc>
        <w:tc>
          <w:tcPr>
            <w:tcW w:w="2835" w:type="dxa"/>
            <w:vAlign w:val="bottom"/>
          </w:tcPr>
          <w:p w14:paraId="5D11462E" w14:textId="77777777" w:rsidR="00E72CA9" w:rsidRDefault="00D516E3">
            <w:r>
              <w:rPr>
                <w:color w:val="000000"/>
              </w:rPr>
              <w:t>5.16</w:t>
            </w:r>
            <w:r>
              <w:t>×10</w:t>
            </w:r>
            <w:r>
              <w:rPr>
                <w:vertAlign w:val="superscript"/>
              </w:rPr>
              <w:t>−</w:t>
            </w:r>
            <w:r>
              <w:rPr>
                <w:color w:val="000000"/>
                <w:vertAlign w:val="superscript"/>
              </w:rPr>
              <w:t>12</w:t>
            </w:r>
          </w:p>
        </w:tc>
        <w:tc>
          <w:tcPr>
            <w:tcW w:w="2334" w:type="dxa"/>
            <w:vAlign w:val="bottom"/>
          </w:tcPr>
          <w:p w14:paraId="7ABE2E58" w14:textId="77777777" w:rsidR="00E72CA9" w:rsidRDefault="00D516E3">
            <w:r>
              <w:rPr>
                <w:color w:val="000000"/>
              </w:rPr>
              <w:t>2.28</w:t>
            </w:r>
            <w:r>
              <w:t>×10</w:t>
            </w:r>
            <w:r>
              <w:rPr>
                <w:vertAlign w:val="superscript"/>
              </w:rPr>
              <w:t>−</w:t>
            </w:r>
            <w:r>
              <w:rPr>
                <w:color w:val="000000"/>
                <w:vertAlign w:val="superscript"/>
              </w:rPr>
              <w:t>19</w:t>
            </w:r>
          </w:p>
        </w:tc>
      </w:tr>
      <w:tr w:rsidR="00E72CA9" w14:paraId="59A000FD" w14:textId="77777777">
        <w:tc>
          <w:tcPr>
            <w:tcW w:w="913" w:type="dxa"/>
          </w:tcPr>
          <w:p w14:paraId="70D68E1B" w14:textId="77777777" w:rsidR="00E72CA9" w:rsidRDefault="00D516E3">
            <w:r>
              <w:t>13</w:t>
            </w:r>
          </w:p>
        </w:tc>
        <w:tc>
          <w:tcPr>
            <w:tcW w:w="1497" w:type="dxa"/>
          </w:tcPr>
          <w:p w14:paraId="72168709" w14:textId="77777777" w:rsidR="00E72CA9" w:rsidRDefault="00D516E3">
            <w:r>
              <w:t>9.00×10</w:t>
            </w:r>
            <w:r>
              <w:rPr>
                <w:vertAlign w:val="superscript"/>
              </w:rPr>
              <w:t>1</w:t>
            </w:r>
          </w:p>
        </w:tc>
        <w:tc>
          <w:tcPr>
            <w:tcW w:w="1701" w:type="dxa"/>
          </w:tcPr>
          <w:p w14:paraId="65474D64" w14:textId="77777777" w:rsidR="00E72CA9" w:rsidRDefault="00D516E3">
            <w:r>
              <w:t>8.55×10</w:t>
            </w:r>
            <w:r>
              <w:rPr>
                <w:vertAlign w:val="superscript"/>
              </w:rPr>
              <w:t>−7</w:t>
            </w:r>
          </w:p>
        </w:tc>
        <w:tc>
          <w:tcPr>
            <w:tcW w:w="2693" w:type="dxa"/>
          </w:tcPr>
          <w:p w14:paraId="7B70EF88" w14:textId="77777777" w:rsidR="00E72CA9" w:rsidRDefault="00D516E3">
            <w:r>
              <w:t>7.69×10</w:t>
            </w:r>
            <w:r>
              <w:rPr>
                <w:vertAlign w:val="superscript"/>
              </w:rPr>
              <w:t>−12</w:t>
            </w:r>
          </w:p>
        </w:tc>
        <w:tc>
          <w:tcPr>
            <w:tcW w:w="1985" w:type="dxa"/>
          </w:tcPr>
          <w:p w14:paraId="36A23E6D" w14:textId="77777777" w:rsidR="00E72CA9" w:rsidRDefault="00D516E3">
            <w:pPr>
              <w:rPr>
                <w:color w:val="000000"/>
              </w:rPr>
            </w:pPr>
            <w:r>
              <w:t>6.58×10</w:t>
            </w:r>
            <w:r>
              <w:rPr>
                <w:vertAlign w:val="superscript"/>
              </w:rPr>
              <w:t>−18</w:t>
            </w:r>
          </w:p>
        </w:tc>
        <w:tc>
          <w:tcPr>
            <w:tcW w:w="2835" w:type="dxa"/>
            <w:vAlign w:val="bottom"/>
          </w:tcPr>
          <w:p w14:paraId="0941A58E" w14:textId="77777777" w:rsidR="00E72CA9" w:rsidRDefault="00D516E3">
            <w:r>
              <w:rPr>
                <w:color w:val="000000"/>
              </w:rPr>
              <w:t>4.35</w:t>
            </w:r>
            <w:r>
              <w:t>×10</w:t>
            </w:r>
            <w:r>
              <w:rPr>
                <w:vertAlign w:val="superscript"/>
              </w:rPr>
              <w:t>−</w:t>
            </w:r>
            <w:r>
              <w:rPr>
                <w:color w:val="000000"/>
                <w:vertAlign w:val="superscript"/>
              </w:rPr>
              <w:t>12</w:t>
            </w:r>
          </w:p>
        </w:tc>
        <w:tc>
          <w:tcPr>
            <w:tcW w:w="2334" w:type="dxa"/>
            <w:vAlign w:val="bottom"/>
          </w:tcPr>
          <w:p w14:paraId="3678F6C7" w14:textId="77777777" w:rsidR="00E72CA9" w:rsidRDefault="00D516E3">
            <w:r>
              <w:rPr>
                <w:color w:val="000000"/>
              </w:rPr>
              <w:t>3.72</w:t>
            </w:r>
            <w:r>
              <w:t>×10</w:t>
            </w:r>
            <w:r>
              <w:rPr>
                <w:vertAlign w:val="superscript"/>
              </w:rPr>
              <w:t>−</w:t>
            </w:r>
            <w:r>
              <w:rPr>
                <w:color w:val="000000"/>
                <w:vertAlign w:val="superscript"/>
              </w:rPr>
              <w:t>18</w:t>
            </w:r>
          </w:p>
        </w:tc>
      </w:tr>
      <w:tr w:rsidR="00E72CA9" w14:paraId="5F16A0AC" w14:textId="77777777">
        <w:tc>
          <w:tcPr>
            <w:tcW w:w="913" w:type="dxa"/>
          </w:tcPr>
          <w:p w14:paraId="6A52DBCD" w14:textId="77777777" w:rsidR="00E72CA9" w:rsidRDefault="00D516E3">
            <w:r>
              <w:t>14</w:t>
            </w:r>
          </w:p>
        </w:tc>
        <w:tc>
          <w:tcPr>
            <w:tcW w:w="1497" w:type="dxa"/>
          </w:tcPr>
          <w:p w14:paraId="07C724E9" w14:textId="77777777" w:rsidR="00E72CA9" w:rsidRDefault="00D516E3">
            <w:r>
              <w:t>8.83×10</w:t>
            </w:r>
            <w:r>
              <w:rPr>
                <w:vertAlign w:val="superscript"/>
              </w:rPr>
              <w:t>2</w:t>
            </w:r>
          </w:p>
        </w:tc>
        <w:tc>
          <w:tcPr>
            <w:tcW w:w="1701" w:type="dxa"/>
          </w:tcPr>
          <w:p w14:paraId="7DDFC586" w14:textId="77777777" w:rsidR="00E72CA9" w:rsidRDefault="00D516E3">
            <w:r>
              <w:t>8.39×10</w:t>
            </w:r>
            <w:r>
              <w:rPr>
                <w:vertAlign w:val="superscript"/>
              </w:rPr>
              <w:t>−6</w:t>
            </w:r>
          </w:p>
        </w:tc>
        <w:tc>
          <w:tcPr>
            <w:tcW w:w="2693" w:type="dxa"/>
          </w:tcPr>
          <w:p w14:paraId="0CA99F71" w14:textId="77777777" w:rsidR="00E72CA9" w:rsidRDefault="00D516E3">
            <w:r>
              <w:t>1.62×10</w:t>
            </w:r>
            <w:r>
              <w:rPr>
                <w:vertAlign w:val="superscript"/>
              </w:rPr>
              <w:t>−11</w:t>
            </w:r>
          </w:p>
        </w:tc>
        <w:tc>
          <w:tcPr>
            <w:tcW w:w="1985" w:type="dxa"/>
          </w:tcPr>
          <w:p w14:paraId="62566BF8" w14:textId="77777777" w:rsidR="00E72CA9" w:rsidRDefault="00D516E3">
            <w:pPr>
              <w:rPr>
                <w:color w:val="000000"/>
              </w:rPr>
            </w:pPr>
            <w:r>
              <w:t>1.36×10</w:t>
            </w:r>
            <w:r>
              <w:rPr>
                <w:vertAlign w:val="superscript"/>
              </w:rPr>
              <w:t>−16</w:t>
            </w:r>
          </w:p>
        </w:tc>
        <w:tc>
          <w:tcPr>
            <w:tcW w:w="2835" w:type="dxa"/>
            <w:vAlign w:val="bottom"/>
          </w:tcPr>
          <w:p w14:paraId="2878F298" w14:textId="77777777" w:rsidR="00E72CA9" w:rsidRDefault="00D516E3">
            <w:r>
              <w:rPr>
                <w:color w:val="000000"/>
              </w:rPr>
              <w:t>3.72</w:t>
            </w:r>
            <w:r>
              <w:t>×10</w:t>
            </w:r>
            <w:r>
              <w:rPr>
                <w:vertAlign w:val="superscript"/>
              </w:rPr>
              <w:t>−</w:t>
            </w:r>
            <w:r>
              <w:rPr>
                <w:color w:val="000000"/>
                <w:vertAlign w:val="superscript"/>
              </w:rPr>
              <w:t>12</w:t>
            </w:r>
          </w:p>
        </w:tc>
        <w:tc>
          <w:tcPr>
            <w:tcW w:w="2334" w:type="dxa"/>
            <w:vAlign w:val="bottom"/>
          </w:tcPr>
          <w:p w14:paraId="42FF8178" w14:textId="77777777" w:rsidR="00E72CA9" w:rsidRDefault="00D516E3">
            <w:r>
              <w:rPr>
                <w:color w:val="000000"/>
              </w:rPr>
              <w:t>3.12</w:t>
            </w:r>
            <w:r>
              <w:t>×10</w:t>
            </w:r>
            <w:r>
              <w:rPr>
                <w:vertAlign w:val="superscript"/>
              </w:rPr>
              <w:t>−</w:t>
            </w:r>
            <w:r>
              <w:rPr>
                <w:color w:val="000000"/>
                <w:vertAlign w:val="superscript"/>
              </w:rPr>
              <w:t>17</w:t>
            </w:r>
          </w:p>
        </w:tc>
      </w:tr>
      <w:tr w:rsidR="00E72CA9" w14:paraId="40572C6E" w14:textId="77777777">
        <w:tc>
          <w:tcPr>
            <w:tcW w:w="913" w:type="dxa"/>
          </w:tcPr>
          <w:p w14:paraId="021EDCA7" w14:textId="77777777" w:rsidR="00E72CA9" w:rsidRDefault="00D516E3">
            <w:r>
              <w:t>⁝</w:t>
            </w:r>
          </w:p>
        </w:tc>
        <w:tc>
          <w:tcPr>
            <w:tcW w:w="1497" w:type="dxa"/>
          </w:tcPr>
          <w:p w14:paraId="750390F0" w14:textId="77777777" w:rsidR="00E72CA9" w:rsidRDefault="00D516E3">
            <w:r>
              <w:t>⁝</w:t>
            </w:r>
          </w:p>
        </w:tc>
        <w:tc>
          <w:tcPr>
            <w:tcW w:w="1701" w:type="dxa"/>
          </w:tcPr>
          <w:p w14:paraId="24DC2FB7" w14:textId="77777777" w:rsidR="00E72CA9" w:rsidRDefault="00D516E3">
            <w:r>
              <w:t>⁝</w:t>
            </w:r>
          </w:p>
        </w:tc>
        <w:tc>
          <w:tcPr>
            <w:tcW w:w="2693" w:type="dxa"/>
          </w:tcPr>
          <w:p w14:paraId="2E1F58DF" w14:textId="77777777" w:rsidR="00E72CA9" w:rsidRDefault="00D516E3">
            <w:r>
              <w:t>⁝</w:t>
            </w:r>
          </w:p>
        </w:tc>
        <w:tc>
          <w:tcPr>
            <w:tcW w:w="1985" w:type="dxa"/>
          </w:tcPr>
          <w:p w14:paraId="03A1313E" w14:textId="77777777" w:rsidR="00E72CA9" w:rsidRDefault="00D516E3">
            <w:r>
              <w:t>⁝</w:t>
            </w:r>
          </w:p>
        </w:tc>
        <w:tc>
          <w:tcPr>
            <w:tcW w:w="2835" w:type="dxa"/>
          </w:tcPr>
          <w:p w14:paraId="59EABCE9" w14:textId="77777777" w:rsidR="00E72CA9" w:rsidRDefault="00D516E3">
            <w:r>
              <w:t>⁝</w:t>
            </w:r>
          </w:p>
        </w:tc>
        <w:tc>
          <w:tcPr>
            <w:tcW w:w="2334" w:type="dxa"/>
          </w:tcPr>
          <w:p w14:paraId="1D5E28FD" w14:textId="77777777" w:rsidR="00E72CA9" w:rsidRDefault="00D516E3">
            <w:r>
              <w:t>⁝</w:t>
            </w:r>
          </w:p>
        </w:tc>
      </w:tr>
      <w:tr w:rsidR="00E72CA9" w14:paraId="17D981B6" w14:textId="77777777">
        <w:tc>
          <w:tcPr>
            <w:tcW w:w="913" w:type="dxa"/>
          </w:tcPr>
          <w:p w14:paraId="6B504C7A" w14:textId="77777777" w:rsidR="00E72CA9" w:rsidRDefault="00D516E3">
            <w:r>
              <w:t>77</w:t>
            </w:r>
          </w:p>
        </w:tc>
        <w:tc>
          <w:tcPr>
            <w:tcW w:w="1497" w:type="dxa"/>
            <w:vAlign w:val="bottom"/>
          </w:tcPr>
          <w:p w14:paraId="0292E055" w14:textId="77777777" w:rsidR="00E72CA9" w:rsidRDefault="00D516E3">
            <w:r>
              <w:rPr>
                <w:color w:val="000000"/>
              </w:rPr>
              <w:t>3.14</w:t>
            </w:r>
            <w:r>
              <w:t>×10</w:t>
            </w:r>
            <w:r>
              <w:rPr>
                <w:color w:val="000000"/>
                <w:vertAlign w:val="superscript"/>
              </w:rPr>
              <w:t>5</w:t>
            </w:r>
          </w:p>
        </w:tc>
        <w:tc>
          <w:tcPr>
            <w:tcW w:w="1701" w:type="dxa"/>
          </w:tcPr>
          <w:p w14:paraId="57B4C1AB" w14:textId="77777777" w:rsidR="00E72CA9" w:rsidRDefault="00D516E3">
            <w:r>
              <w:t>2.99×10</w:t>
            </w:r>
            <w:r>
              <w:rPr>
                <w:vertAlign w:val="superscript"/>
              </w:rPr>
              <w:t>−3</w:t>
            </w:r>
          </w:p>
        </w:tc>
        <w:tc>
          <w:tcPr>
            <w:tcW w:w="2693" w:type="dxa"/>
          </w:tcPr>
          <w:p w14:paraId="4C769E15" w14:textId="77777777" w:rsidR="00E72CA9" w:rsidRDefault="00D516E3">
            <w:r>
              <w:t>7.01×10</w:t>
            </w:r>
            <w:r>
              <w:rPr>
                <w:vertAlign w:val="superscript"/>
              </w:rPr>
              <w:t>−10</w:t>
            </w:r>
          </w:p>
        </w:tc>
        <w:tc>
          <w:tcPr>
            <w:tcW w:w="1985" w:type="dxa"/>
          </w:tcPr>
          <w:p w14:paraId="7D9B57C1" w14:textId="77777777" w:rsidR="00E72CA9" w:rsidRDefault="00D516E3">
            <w:r>
              <w:t>2.09×10</w:t>
            </w:r>
            <w:r>
              <w:rPr>
                <w:vertAlign w:val="superscript"/>
              </w:rPr>
              <w:t>−12</w:t>
            </w:r>
          </w:p>
        </w:tc>
        <w:tc>
          <w:tcPr>
            <w:tcW w:w="2835" w:type="dxa"/>
            <w:vAlign w:val="bottom"/>
          </w:tcPr>
          <w:p w14:paraId="4B8275EF" w14:textId="77777777" w:rsidR="00E72CA9" w:rsidRDefault="00D516E3">
            <w:r>
              <w:rPr>
                <w:color w:val="000000"/>
              </w:rPr>
              <w:t>3.03</w:t>
            </w:r>
            <w:r>
              <w:t>×10</w:t>
            </w:r>
            <w:r>
              <w:rPr>
                <w:vertAlign w:val="superscript"/>
              </w:rPr>
              <w:t>−</w:t>
            </w:r>
            <w:r>
              <w:rPr>
                <w:color w:val="000000"/>
                <w:vertAlign w:val="superscript"/>
              </w:rPr>
              <w:t>13</w:t>
            </w:r>
          </w:p>
        </w:tc>
        <w:tc>
          <w:tcPr>
            <w:tcW w:w="2334" w:type="dxa"/>
            <w:vAlign w:val="bottom"/>
          </w:tcPr>
          <w:p w14:paraId="66F31E2D" w14:textId="77777777" w:rsidR="00E72CA9" w:rsidRDefault="00D516E3">
            <w:r>
              <w:rPr>
                <w:color w:val="000000"/>
              </w:rPr>
              <w:t>9.05</w:t>
            </w:r>
            <w:r>
              <w:t>×10</w:t>
            </w:r>
            <w:r>
              <w:rPr>
                <w:vertAlign w:val="superscript"/>
              </w:rPr>
              <w:t>−</w:t>
            </w:r>
            <w:r>
              <w:rPr>
                <w:color w:val="000000"/>
                <w:vertAlign w:val="superscript"/>
              </w:rPr>
              <w:t>16</w:t>
            </w:r>
          </w:p>
        </w:tc>
      </w:tr>
      <w:tr w:rsidR="00E72CA9" w14:paraId="1EAAA87B" w14:textId="77777777">
        <w:tc>
          <w:tcPr>
            <w:tcW w:w="913" w:type="dxa"/>
          </w:tcPr>
          <w:p w14:paraId="0E51E309" w14:textId="77777777" w:rsidR="00E72CA9" w:rsidRDefault="00D516E3">
            <w:r>
              <w:t>78</w:t>
            </w:r>
          </w:p>
        </w:tc>
        <w:tc>
          <w:tcPr>
            <w:tcW w:w="1497" w:type="dxa"/>
            <w:vAlign w:val="bottom"/>
          </w:tcPr>
          <w:p w14:paraId="767F816B" w14:textId="77777777" w:rsidR="00E72CA9" w:rsidRDefault="00D516E3">
            <w:r>
              <w:rPr>
                <w:color w:val="000000"/>
              </w:rPr>
              <w:t>2.47</w:t>
            </w:r>
            <w:r>
              <w:t>×10</w:t>
            </w:r>
            <w:r>
              <w:rPr>
                <w:color w:val="000000"/>
                <w:vertAlign w:val="superscript"/>
              </w:rPr>
              <w:t>5</w:t>
            </w:r>
          </w:p>
        </w:tc>
        <w:tc>
          <w:tcPr>
            <w:tcW w:w="1701" w:type="dxa"/>
          </w:tcPr>
          <w:p w14:paraId="1494EC12" w14:textId="77777777" w:rsidR="00E72CA9" w:rsidRDefault="00D516E3">
            <w:r>
              <w:t>2.34×10</w:t>
            </w:r>
            <w:r>
              <w:rPr>
                <w:vertAlign w:val="superscript"/>
              </w:rPr>
              <w:t>−3</w:t>
            </w:r>
          </w:p>
        </w:tc>
        <w:tc>
          <w:tcPr>
            <w:tcW w:w="2693" w:type="dxa"/>
          </w:tcPr>
          <w:p w14:paraId="30312E4E" w14:textId="77777777" w:rsidR="00E72CA9" w:rsidRDefault="00D516E3">
            <w:r>
              <w:t>7.04×10</w:t>
            </w:r>
            <w:r>
              <w:rPr>
                <w:vertAlign w:val="superscript"/>
              </w:rPr>
              <w:t>−10</w:t>
            </w:r>
          </w:p>
        </w:tc>
        <w:tc>
          <w:tcPr>
            <w:tcW w:w="1985" w:type="dxa"/>
          </w:tcPr>
          <w:p w14:paraId="69CA2FEA" w14:textId="77777777" w:rsidR="00E72CA9" w:rsidRDefault="00D516E3">
            <w:r>
              <w:t>1.65×10</w:t>
            </w:r>
            <w:r>
              <w:rPr>
                <w:vertAlign w:val="superscript"/>
              </w:rPr>
              <w:t>−12</w:t>
            </w:r>
          </w:p>
        </w:tc>
        <w:tc>
          <w:tcPr>
            <w:tcW w:w="2835" w:type="dxa"/>
            <w:vAlign w:val="bottom"/>
          </w:tcPr>
          <w:p w14:paraId="0C9D0C16" w14:textId="77777777" w:rsidR="00E72CA9" w:rsidRDefault="00D516E3">
            <w:r>
              <w:rPr>
                <w:color w:val="000000"/>
              </w:rPr>
              <w:t>3.05</w:t>
            </w:r>
            <w:r>
              <w:t>×10</w:t>
            </w:r>
            <w:r>
              <w:rPr>
                <w:vertAlign w:val="superscript"/>
              </w:rPr>
              <w:t>−</w:t>
            </w:r>
            <w:r>
              <w:rPr>
                <w:color w:val="000000"/>
                <w:vertAlign w:val="superscript"/>
              </w:rPr>
              <w:t>13</w:t>
            </w:r>
          </w:p>
        </w:tc>
        <w:tc>
          <w:tcPr>
            <w:tcW w:w="2334" w:type="dxa"/>
            <w:vAlign w:val="bottom"/>
          </w:tcPr>
          <w:p w14:paraId="7FE566EE" w14:textId="77777777" w:rsidR="00E72CA9" w:rsidRDefault="00D516E3">
            <w:r>
              <w:rPr>
                <w:color w:val="000000"/>
              </w:rPr>
              <w:t>7.15</w:t>
            </w:r>
            <w:r>
              <w:t>×10</w:t>
            </w:r>
            <w:r>
              <w:rPr>
                <w:vertAlign w:val="superscript"/>
              </w:rPr>
              <w:t>−</w:t>
            </w:r>
            <w:r>
              <w:rPr>
                <w:color w:val="000000"/>
                <w:vertAlign w:val="superscript"/>
              </w:rPr>
              <w:t>16</w:t>
            </w:r>
          </w:p>
        </w:tc>
      </w:tr>
      <w:tr w:rsidR="00E72CA9" w14:paraId="0340C720" w14:textId="77777777">
        <w:tc>
          <w:tcPr>
            <w:tcW w:w="913" w:type="dxa"/>
          </w:tcPr>
          <w:p w14:paraId="140E3F71" w14:textId="77777777" w:rsidR="00E72CA9" w:rsidRDefault="00D516E3">
            <w:r>
              <w:t>79</w:t>
            </w:r>
          </w:p>
        </w:tc>
        <w:tc>
          <w:tcPr>
            <w:tcW w:w="1497" w:type="dxa"/>
            <w:vAlign w:val="bottom"/>
          </w:tcPr>
          <w:p w14:paraId="01A493D8" w14:textId="77777777" w:rsidR="00E72CA9" w:rsidRDefault="00D516E3">
            <w:r>
              <w:rPr>
                <w:color w:val="000000"/>
              </w:rPr>
              <w:t>1.37</w:t>
            </w:r>
            <w:r>
              <w:t>×10</w:t>
            </w:r>
            <w:r>
              <w:rPr>
                <w:color w:val="000000"/>
                <w:vertAlign w:val="superscript"/>
              </w:rPr>
              <w:t>5</w:t>
            </w:r>
          </w:p>
        </w:tc>
        <w:tc>
          <w:tcPr>
            <w:tcW w:w="1701" w:type="dxa"/>
          </w:tcPr>
          <w:p w14:paraId="21C86504" w14:textId="77777777" w:rsidR="00E72CA9" w:rsidRDefault="00D516E3">
            <w:r>
              <w:t>1.30×10</w:t>
            </w:r>
            <w:r>
              <w:rPr>
                <w:vertAlign w:val="superscript"/>
              </w:rPr>
              <w:t>−3</w:t>
            </w:r>
          </w:p>
        </w:tc>
        <w:tc>
          <w:tcPr>
            <w:tcW w:w="2693" w:type="dxa"/>
          </w:tcPr>
          <w:p w14:paraId="1FD80FFD" w14:textId="77777777" w:rsidR="00E72CA9" w:rsidRDefault="00D516E3">
            <w:r>
              <w:t>7.08×10</w:t>
            </w:r>
            <w:r>
              <w:rPr>
                <w:vertAlign w:val="superscript"/>
              </w:rPr>
              <w:t>−10</w:t>
            </w:r>
          </w:p>
        </w:tc>
        <w:tc>
          <w:tcPr>
            <w:tcW w:w="1985" w:type="dxa"/>
          </w:tcPr>
          <w:p w14:paraId="3EEA3178" w14:textId="77777777" w:rsidR="00E72CA9" w:rsidRDefault="00D516E3">
            <w:r>
              <w:t>9.19×10</w:t>
            </w:r>
            <w:r>
              <w:rPr>
                <w:vertAlign w:val="superscript"/>
              </w:rPr>
              <w:t>−13</w:t>
            </w:r>
          </w:p>
        </w:tc>
        <w:tc>
          <w:tcPr>
            <w:tcW w:w="2835" w:type="dxa"/>
            <w:vAlign w:val="bottom"/>
          </w:tcPr>
          <w:p w14:paraId="39788E8A" w14:textId="77777777" w:rsidR="00E72CA9" w:rsidRDefault="00D516E3">
            <w:r>
              <w:rPr>
                <w:color w:val="000000"/>
              </w:rPr>
              <w:t>3.07</w:t>
            </w:r>
            <w:r>
              <w:t>×10</w:t>
            </w:r>
            <w:r>
              <w:rPr>
                <w:vertAlign w:val="superscript"/>
              </w:rPr>
              <w:t>−</w:t>
            </w:r>
            <w:r>
              <w:rPr>
                <w:color w:val="000000"/>
                <w:vertAlign w:val="superscript"/>
              </w:rPr>
              <w:t>13</w:t>
            </w:r>
          </w:p>
        </w:tc>
        <w:tc>
          <w:tcPr>
            <w:tcW w:w="2334" w:type="dxa"/>
            <w:vAlign w:val="bottom"/>
          </w:tcPr>
          <w:p w14:paraId="6101204B" w14:textId="77777777" w:rsidR="00E72CA9" w:rsidRDefault="00D516E3">
            <w:r>
              <w:rPr>
                <w:color w:val="000000"/>
              </w:rPr>
              <w:t>3.98</w:t>
            </w:r>
            <w:r>
              <w:t>×10</w:t>
            </w:r>
            <w:r>
              <w:rPr>
                <w:vertAlign w:val="superscript"/>
              </w:rPr>
              <w:t>−</w:t>
            </w:r>
            <w:r>
              <w:rPr>
                <w:color w:val="000000"/>
                <w:vertAlign w:val="superscript"/>
              </w:rPr>
              <w:t>16</w:t>
            </w:r>
          </w:p>
        </w:tc>
      </w:tr>
      <w:tr w:rsidR="00E72CA9" w14:paraId="1528CE47" w14:textId="77777777">
        <w:tc>
          <w:tcPr>
            <w:tcW w:w="913" w:type="dxa"/>
          </w:tcPr>
          <w:p w14:paraId="6723BCFC" w14:textId="77777777" w:rsidR="00E72CA9" w:rsidRDefault="00D516E3">
            <w:r>
              <w:t>80</w:t>
            </w:r>
          </w:p>
        </w:tc>
        <w:tc>
          <w:tcPr>
            <w:tcW w:w="1497" w:type="dxa"/>
            <w:vAlign w:val="bottom"/>
          </w:tcPr>
          <w:p w14:paraId="61160FC0" w14:textId="77777777" w:rsidR="00E72CA9" w:rsidRDefault="00D516E3">
            <w:r>
              <w:rPr>
                <w:color w:val="000000"/>
              </w:rPr>
              <w:t>0.00</w:t>
            </w:r>
          </w:p>
        </w:tc>
        <w:tc>
          <w:tcPr>
            <w:tcW w:w="1701" w:type="dxa"/>
          </w:tcPr>
          <w:p w14:paraId="2667216D" w14:textId="77777777" w:rsidR="00E72CA9" w:rsidRDefault="00D516E3">
            <w:r>
              <w:t>0</w:t>
            </w:r>
          </w:p>
        </w:tc>
        <w:tc>
          <w:tcPr>
            <w:tcW w:w="2693" w:type="dxa"/>
          </w:tcPr>
          <w:p w14:paraId="5D7A22EB" w14:textId="77777777" w:rsidR="00E72CA9" w:rsidRDefault="00D516E3">
            <w:r>
              <w:t>7.16×10</w:t>
            </w:r>
            <w:r>
              <w:rPr>
                <w:vertAlign w:val="superscript"/>
              </w:rPr>
              <w:t>−10</w:t>
            </w:r>
          </w:p>
        </w:tc>
        <w:tc>
          <w:tcPr>
            <w:tcW w:w="1985" w:type="dxa"/>
          </w:tcPr>
          <w:p w14:paraId="319A86C9" w14:textId="77777777" w:rsidR="00E72CA9" w:rsidRDefault="00D516E3">
            <w:r>
              <w:t>0.00</w:t>
            </w:r>
          </w:p>
        </w:tc>
        <w:tc>
          <w:tcPr>
            <w:tcW w:w="2835" w:type="dxa"/>
            <w:vAlign w:val="bottom"/>
          </w:tcPr>
          <w:p w14:paraId="103198B3" w14:textId="77777777" w:rsidR="00E72CA9" w:rsidRDefault="00D516E3">
            <w:r>
              <w:rPr>
                <w:color w:val="000000"/>
              </w:rPr>
              <w:t>3.09</w:t>
            </w:r>
            <w:r>
              <w:t>×10</w:t>
            </w:r>
            <w:r>
              <w:rPr>
                <w:vertAlign w:val="superscript"/>
              </w:rPr>
              <w:t>−</w:t>
            </w:r>
            <w:r>
              <w:rPr>
                <w:color w:val="000000"/>
                <w:vertAlign w:val="superscript"/>
              </w:rPr>
              <w:t>13</w:t>
            </w:r>
          </w:p>
        </w:tc>
        <w:tc>
          <w:tcPr>
            <w:tcW w:w="2334" w:type="dxa"/>
            <w:vAlign w:val="bottom"/>
          </w:tcPr>
          <w:p w14:paraId="59BBD009" w14:textId="77777777" w:rsidR="00E72CA9" w:rsidRDefault="00D516E3">
            <w:r>
              <w:rPr>
                <w:color w:val="000000"/>
              </w:rPr>
              <w:t>0.00</w:t>
            </w:r>
          </w:p>
        </w:tc>
      </w:tr>
      <w:tr w:rsidR="00E72CA9" w14:paraId="081AD8EA" w14:textId="77777777">
        <w:tc>
          <w:tcPr>
            <w:tcW w:w="913" w:type="dxa"/>
          </w:tcPr>
          <w:p w14:paraId="597E2793" w14:textId="77777777" w:rsidR="00E72CA9" w:rsidRDefault="00D516E3">
            <w:pPr>
              <w:rPr>
                <w:b/>
                <w:bCs/>
                <w:color w:val="000000"/>
              </w:rPr>
            </w:pPr>
            <w:r>
              <w:rPr>
                <w:b/>
                <w:bCs/>
                <w:color w:val="000000"/>
              </w:rPr>
              <w:t>Sum</w:t>
            </w:r>
          </w:p>
        </w:tc>
        <w:tc>
          <w:tcPr>
            <w:tcW w:w="1497" w:type="dxa"/>
            <w:vAlign w:val="bottom"/>
          </w:tcPr>
          <w:p w14:paraId="57C10B91" w14:textId="77777777" w:rsidR="00E72CA9" w:rsidRDefault="00D516E3">
            <w:pPr>
              <w:rPr>
                <w:b/>
                <w:bCs/>
                <w:color w:val="000000"/>
              </w:rPr>
            </w:pPr>
            <w:r>
              <w:rPr>
                <w:b/>
                <w:bCs/>
                <w:color w:val="000000"/>
              </w:rPr>
              <w:t>1.05</w:t>
            </w:r>
            <w:r>
              <w:rPr>
                <w:b/>
                <w:bCs/>
              </w:rPr>
              <w:t>×10</w:t>
            </w:r>
            <w:r>
              <w:rPr>
                <w:b/>
                <w:bCs/>
                <w:color w:val="000000"/>
                <w:vertAlign w:val="superscript"/>
              </w:rPr>
              <w:t>8</w:t>
            </w:r>
          </w:p>
        </w:tc>
        <w:tc>
          <w:tcPr>
            <w:tcW w:w="1701" w:type="dxa"/>
          </w:tcPr>
          <w:p w14:paraId="23E5995C" w14:textId="77777777" w:rsidR="00E72CA9" w:rsidRDefault="00D516E3">
            <w:pPr>
              <w:rPr>
                <w:b/>
                <w:bCs/>
              </w:rPr>
            </w:pPr>
            <w:r>
              <w:rPr>
                <w:b/>
                <w:bCs/>
              </w:rPr>
              <w:t>1.0</w:t>
            </w:r>
          </w:p>
        </w:tc>
        <w:tc>
          <w:tcPr>
            <w:tcW w:w="2693" w:type="dxa"/>
          </w:tcPr>
          <w:p w14:paraId="3A39368A" w14:textId="77777777" w:rsidR="00E72CA9" w:rsidRDefault="00D516E3">
            <w:pPr>
              <w:rPr>
                <w:b/>
                <w:bCs/>
              </w:rPr>
            </w:pPr>
            <w:r>
              <w:rPr>
                <w:b/>
                <w:bCs/>
              </w:rPr>
              <w:t>-</w:t>
            </w:r>
          </w:p>
        </w:tc>
        <w:tc>
          <w:tcPr>
            <w:tcW w:w="1985" w:type="dxa"/>
          </w:tcPr>
          <w:p w14:paraId="3FEE16FD" w14:textId="77777777" w:rsidR="00E72CA9" w:rsidRDefault="00D516E3">
            <w:pPr>
              <w:rPr>
                <w:b/>
                <w:bCs/>
                <w:color w:val="000000"/>
              </w:rPr>
            </w:pPr>
            <w:r>
              <w:rPr>
                <w:b/>
                <w:bCs/>
                <w:color w:val="000000"/>
              </w:rPr>
              <w:t>5.52</w:t>
            </w:r>
            <w:r>
              <w:rPr>
                <w:b/>
                <w:bCs/>
              </w:rPr>
              <w:t>×10</w:t>
            </w:r>
            <w:r>
              <w:rPr>
                <w:b/>
                <w:bCs/>
                <w:vertAlign w:val="superscript"/>
              </w:rPr>
              <w:t>−</w:t>
            </w:r>
            <w:r>
              <w:rPr>
                <w:b/>
                <w:bCs/>
                <w:color w:val="000000"/>
                <w:vertAlign w:val="superscript"/>
              </w:rPr>
              <w:t>10</w:t>
            </w:r>
            <w:r>
              <w:rPr>
                <w:b/>
                <w:bCs/>
                <w:color w:val="000000"/>
              </w:rPr>
              <w:t xml:space="preserve"> (X)</w:t>
            </w:r>
          </w:p>
        </w:tc>
        <w:tc>
          <w:tcPr>
            <w:tcW w:w="2835" w:type="dxa"/>
          </w:tcPr>
          <w:p w14:paraId="2BF4ACFF" w14:textId="77777777" w:rsidR="00E72CA9" w:rsidRDefault="00D516E3">
            <w:pPr>
              <w:rPr>
                <w:b/>
                <w:bCs/>
              </w:rPr>
            </w:pPr>
            <w:r>
              <w:rPr>
                <w:b/>
                <w:bCs/>
              </w:rPr>
              <w:t>-</w:t>
            </w:r>
          </w:p>
        </w:tc>
        <w:tc>
          <w:tcPr>
            <w:tcW w:w="2334" w:type="dxa"/>
          </w:tcPr>
          <w:p w14:paraId="649D783E" w14:textId="77777777" w:rsidR="00E72CA9" w:rsidRDefault="00D516E3">
            <w:pPr>
              <w:rPr>
                <w:b/>
                <w:bCs/>
                <w:color w:val="000000"/>
              </w:rPr>
            </w:pPr>
            <w:r>
              <w:rPr>
                <w:b/>
                <w:bCs/>
                <w:color w:val="000000"/>
              </w:rPr>
              <w:t>4.98</w:t>
            </w:r>
            <w:r>
              <w:rPr>
                <w:b/>
                <w:bCs/>
              </w:rPr>
              <w:t>×10</w:t>
            </w:r>
            <w:r>
              <w:rPr>
                <w:b/>
                <w:bCs/>
                <w:vertAlign w:val="superscript"/>
              </w:rPr>
              <w:t>−</w:t>
            </w:r>
            <w:r>
              <w:rPr>
                <w:b/>
                <w:bCs/>
                <w:color w:val="000000"/>
                <w:vertAlign w:val="superscript"/>
              </w:rPr>
              <w:t>13</w:t>
            </w:r>
            <w:r>
              <w:rPr>
                <w:b/>
                <w:bCs/>
                <w:color w:val="000000"/>
              </w:rPr>
              <w:t xml:space="preserve"> (Y)</w:t>
            </w:r>
          </w:p>
        </w:tc>
      </w:tr>
    </w:tbl>
    <w:p w14:paraId="09003C30" w14:textId="77777777" w:rsidR="00E72CA9" w:rsidRDefault="00D516E3">
      <w:pPr>
        <w:jc w:val="both"/>
        <w:rPr>
          <w:sz w:val="20"/>
          <w:szCs w:val="20"/>
          <w:vertAlign w:val="superscript"/>
        </w:rPr>
      </w:pPr>
      <w:r>
        <w:rPr>
          <w:sz w:val="20"/>
          <w:szCs w:val="20"/>
          <w:vertAlign w:val="superscript"/>
        </w:rPr>
        <w:t>*</w:t>
      </w:r>
      <w:r>
        <w:rPr>
          <w:sz w:val="20"/>
          <w:szCs w:val="20"/>
        </w:rPr>
        <w:t xml:space="preserve"> From spectrum program.</w:t>
      </w:r>
    </w:p>
    <w:p w14:paraId="6911B33C" w14:textId="77777777" w:rsidR="00E72CA9" w:rsidRDefault="00D516E3">
      <w:pPr>
        <w:jc w:val="both"/>
        <w:rPr>
          <w:sz w:val="20"/>
          <w:szCs w:val="20"/>
          <w:vertAlign w:val="superscript"/>
        </w:rPr>
      </w:pPr>
      <w:r>
        <w:rPr>
          <w:sz w:val="20"/>
          <w:szCs w:val="20"/>
          <w:vertAlign w:val="superscript"/>
        </w:rPr>
        <w:t xml:space="preserve">† </w:t>
      </w:r>
      <w:r>
        <w:rPr>
          <w:sz w:val="20"/>
          <w:szCs w:val="20"/>
        </w:rPr>
        <w:t>Fluence per energy bin divided by total fluence.</w:t>
      </w:r>
    </w:p>
    <w:p w14:paraId="6715EEAB" w14:textId="77777777" w:rsidR="00E72CA9" w:rsidRDefault="00D516E3">
      <w:pPr>
        <w:jc w:val="both"/>
        <w:rPr>
          <w:sz w:val="20"/>
          <w:szCs w:val="20"/>
          <w:vertAlign w:val="superscript"/>
        </w:rPr>
      </w:pPr>
      <w:r>
        <w:rPr>
          <w:sz w:val="20"/>
          <w:szCs w:val="20"/>
          <w:vertAlign w:val="superscript"/>
        </w:rPr>
        <w:t>ǂ</w:t>
      </w:r>
      <w:r>
        <w:rPr>
          <w:rFonts w:hint="eastAsia"/>
          <w:sz w:val="20"/>
          <w:szCs w:val="20"/>
          <w:lang w:eastAsia="ja-JP"/>
        </w:rPr>
        <w:t xml:space="preserve"> </w:t>
      </w:r>
      <w:proofErr w:type="gramStart"/>
      <w:r>
        <w:rPr>
          <w:rFonts w:hint="eastAsia"/>
          <w:sz w:val="20"/>
          <w:szCs w:val="20"/>
          <w:lang w:eastAsia="ja-JP"/>
        </w:rPr>
        <w:t>F</w:t>
      </w:r>
      <w:r>
        <w:rPr>
          <w:sz w:val="20"/>
          <w:szCs w:val="20"/>
        </w:rPr>
        <w:t>rom</w:t>
      </w:r>
      <w:proofErr w:type="gramEnd"/>
      <w:r>
        <w:rPr>
          <w:sz w:val="20"/>
          <w:szCs w:val="20"/>
        </w:rPr>
        <w:t xml:space="preserve"> file ‘AbdomenAP_mono.xlsx’.</w:t>
      </w:r>
    </w:p>
    <w:p w14:paraId="4F720936" w14:textId="77777777" w:rsidR="00E72CA9" w:rsidRDefault="00D516E3">
      <w:pPr>
        <w:jc w:val="both"/>
        <w:rPr>
          <w:sz w:val="20"/>
          <w:szCs w:val="20"/>
          <w:vertAlign w:val="superscript"/>
        </w:rPr>
      </w:pPr>
      <w:r>
        <w:rPr>
          <w:sz w:val="20"/>
          <w:szCs w:val="20"/>
          <w:vertAlign w:val="superscript"/>
        </w:rPr>
        <w:t xml:space="preserve">§ </w:t>
      </w:r>
      <w:r>
        <w:rPr>
          <w:sz w:val="20"/>
          <w:szCs w:val="20"/>
        </w:rPr>
        <w:t>From file ‘AbdomenAP_mono.xlsx’.</w:t>
      </w:r>
    </w:p>
    <w:p w14:paraId="64D83674" w14:textId="77777777" w:rsidR="00E72CA9" w:rsidRDefault="00D516E3">
      <w:pPr>
        <w:jc w:val="both"/>
        <w:rPr>
          <w:sz w:val="20"/>
          <w:szCs w:val="20"/>
        </w:rPr>
        <w:sectPr w:rsidR="00E72CA9">
          <w:pgSz w:w="16838" w:h="11906" w:orient="landscape" w:code="9"/>
          <w:pgMar w:top="1440" w:right="1440" w:bottom="1440" w:left="1440" w:header="720" w:footer="720" w:gutter="0"/>
          <w:lnNumType w:countBy="1" w:restart="continuous"/>
          <w:cols w:space="720"/>
          <w:noEndnote/>
          <w:docGrid w:linePitch="326"/>
        </w:sectPr>
      </w:pPr>
      <w:r>
        <w:rPr>
          <w:sz w:val="20"/>
          <w:szCs w:val="20"/>
          <w:vertAlign w:val="superscript"/>
        </w:rPr>
        <w:t>¶</w:t>
      </w:r>
      <w:r>
        <w:rPr>
          <w:rFonts w:hint="eastAsia"/>
          <w:sz w:val="20"/>
          <w:szCs w:val="20"/>
          <w:lang w:eastAsia="ja-JP"/>
        </w:rPr>
        <w:t xml:space="preserve"> T</w:t>
      </w:r>
      <w:r>
        <w:rPr>
          <w:sz w:val="20"/>
          <w:szCs w:val="20"/>
        </w:rPr>
        <w:t xml:space="preserve">he organ (i.e. colon) dose per air kerma at the reference plane is therefore given by </w:t>
      </w:r>
      <w:r>
        <w:rPr>
          <w:bCs/>
          <w:i/>
          <w:iCs/>
          <w:color w:val="000000"/>
          <w:sz w:val="20"/>
          <w:szCs w:val="20"/>
        </w:rPr>
        <w:t>D</w:t>
      </w:r>
      <w:r>
        <w:rPr>
          <w:bCs/>
          <w:color w:val="000000"/>
          <w:sz w:val="20"/>
          <w:szCs w:val="20"/>
          <w:vertAlign w:val="subscript"/>
        </w:rPr>
        <w:t xml:space="preserve">T </w:t>
      </w:r>
      <w:r>
        <w:rPr>
          <w:bCs/>
          <w:color w:val="000000"/>
          <w:sz w:val="20"/>
          <w:szCs w:val="20"/>
        </w:rPr>
        <w:t xml:space="preserve">= X </w:t>
      </w:r>
      <w:r>
        <w:rPr>
          <w:sz w:val="20"/>
          <w:szCs w:val="20"/>
        </w:rPr>
        <w:t xml:space="preserve">× </w:t>
      </w:r>
      <w:r>
        <w:rPr>
          <w:bCs/>
          <w:color w:val="000000"/>
          <w:sz w:val="20"/>
          <w:szCs w:val="20"/>
        </w:rPr>
        <w:t>Y= 5.52</w:t>
      </w:r>
      <w:r>
        <w:rPr>
          <w:sz w:val="20"/>
          <w:szCs w:val="20"/>
        </w:rPr>
        <w:t>×10</w:t>
      </w:r>
      <w:r>
        <w:rPr>
          <w:sz w:val="20"/>
          <w:szCs w:val="20"/>
          <w:vertAlign w:val="superscript"/>
        </w:rPr>
        <w:t>−10</w:t>
      </w:r>
      <w:r>
        <w:rPr>
          <w:sz w:val="20"/>
          <w:szCs w:val="20"/>
        </w:rPr>
        <w:t xml:space="preserve"> / 4.98×10</w:t>
      </w:r>
      <w:r>
        <w:rPr>
          <w:sz w:val="20"/>
          <w:szCs w:val="20"/>
          <w:vertAlign w:val="superscript"/>
        </w:rPr>
        <w:t xml:space="preserve">−10 </w:t>
      </w:r>
      <w:r>
        <w:rPr>
          <w:sz w:val="20"/>
          <w:szCs w:val="20"/>
        </w:rPr>
        <w:t>= 1108 mGy Gy</w:t>
      </w:r>
      <w:r>
        <w:rPr>
          <w:sz w:val="20"/>
          <w:szCs w:val="20"/>
          <w:vertAlign w:val="superscript"/>
        </w:rPr>
        <w:t>−1</w:t>
      </w:r>
      <w:r>
        <w:rPr>
          <w:sz w:val="20"/>
          <w:szCs w:val="20"/>
        </w:rPr>
        <w:t>. From the ‘AbdomenAP_mono.xlsx’, the field size at the reference plane (Z) is 42.4 × 61.3 = 2599.12 cm</w:t>
      </w:r>
      <w:r>
        <w:rPr>
          <w:sz w:val="20"/>
          <w:szCs w:val="20"/>
          <w:vertAlign w:val="superscript"/>
        </w:rPr>
        <w:t>2</w:t>
      </w:r>
      <w:r>
        <w:rPr>
          <w:sz w:val="20"/>
          <w:szCs w:val="20"/>
        </w:rPr>
        <w:t xml:space="preserve">. </w:t>
      </w:r>
      <w:r>
        <w:rPr>
          <w:bCs/>
          <w:sz w:val="20"/>
          <w:szCs w:val="20"/>
        </w:rPr>
        <w:t xml:space="preserve">Thus, the colon dose per kerma-area product (KAP) is expressed as </w:t>
      </w:r>
      <w:r>
        <w:rPr>
          <w:bCs/>
          <w:i/>
          <w:iCs/>
          <w:color w:val="000000"/>
          <w:sz w:val="20"/>
          <w:szCs w:val="20"/>
        </w:rPr>
        <w:t>D</w:t>
      </w:r>
      <w:r>
        <w:rPr>
          <w:bCs/>
          <w:color w:val="000000"/>
          <w:sz w:val="20"/>
          <w:szCs w:val="20"/>
          <w:vertAlign w:val="subscript"/>
        </w:rPr>
        <w:t>T</w:t>
      </w:r>
      <w:r>
        <w:rPr>
          <w:bCs/>
          <w:sz w:val="20"/>
          <w:szCs w:val="20"/>
        </w:rPr>
        <w:t xml:space="preserve"> / Z = </w:t>
      </w:r>
      <w:r>
        <w:rPr>
          <w:sz w:val="20"/>
          <w:szCs w:val="20"/>
        </w:rPr>
        <w:t>1108 mGy Gy</w:t>
      </w:r>
      <w:r>
        <w:rPr>
          <w:sz w:val="20"/>
          <w:szCs w:val="20"/>
          <w:vertAlign w:val="superscript"/>
        </w:rPr>
        <w:t>−1</w:t>
      </w:r>
      <w:r>
        <w:rPr>
          <w:sz w:val="20"/>
          <w:szCs w:val="20"/>
        </w:rPr>
        <w:t xml:space="preserve"> 2599.12 cm</w:t>
      </w:r>
      <w:r>
        <w:rPr>
          <w:sz w:val="20"/>
          <w:szCs w:val="20"/>
          <w:vertAlign w:val="superscript"/>
        </w:rPr>
        <w:t xml:space="preserve">2 </w:t>
      </w:r>
      <w:r>
        <w:rPr>
          <w:sz w:val="20"/>
          <w:szCs w:val="20"/>
        </w:rPr>
        <w:t>= 0.426 mGy Gy</w:t>
      </w:r>
      <w:r>
        <w:rPr>
          <w:sz w:val="20"/>
          <w:szCs w:val="20"/>
          <w:vertAlign w:val="superscript"/>
        </w:rPr>
        <w:t>−1</w:t>
      </w:r>
      <w:r>
        <w:rPr>
          <w:sz w:val="20"/>
          <w:szCs w:val="20"/>
        </w:rPr>
        <w:t xml:space="preserve"> cm</w:t>
      </w:r>
      <w:r>
        <w:rPr>
          <w:sz w:val="20"/>
          <w:szCs w:val="20"/>
          <w:vertAlign w:val="superscript"/>
        </w:rPr>
        <w:t>−2</w:t>
      </w:r>
      <w:r>
        <w:rPr>
          <w:sz w:val="20"/>
          <w:szCs w:val="20"/>
        </w:rPr>
        <w:t xml:space="preserve">. </w:t>
      </w:r>
    </w:p>
    <w:p w14:paraId="55ADF82D" w14:textId="77777777" w:rsidR="00E72CA9" w:rsidRDefault="00D516E3">
      <w:pPr>
        <w:pStyle w:val="2"/>
      </w:pPr>
      <w:bookmarkStart w:id="129" w:name="_Toc158293340"/>
      <w:bookmarkStart w:id="130" w:name="_Toc158293662"/>
      <w:bookmarkStart w:id="131" w:name="_Toc165302048"/>
      <w:bookmarkEnd w:id="128"/>
      <w:r>
        <w:lastRenderedPageBreak/>
        <w:t>Possible application of the dose coefficients</w:t>
      </w:r>
      <w:bookmarkEnd w:id="129"/>
      <w:bookmarkEnd w:id="130"/>
      <w:bookmarkEnd w:id="131"/>
    </w:p>
    <w:p w14:paraId="0E16AFBE" w14:textId="77777777" w:rsidR="00E72CA9" w:rsidRDefault="00D516E3">
      <w:pPr>
        <w:pStyle w:val="3"/>
        <w:tabs>
          <w:tab w:val="clear" w:pos="851"/>
          <w:tab w:val="left" w:pos="709"/>
        </w:tabs>
      </w:pPr>
      <w:bookmarkStart w:id="132" w:name="_Toc158293341"/>
      <w:r>
        <w:t>Using beam qualities different to those presented in the tables of coefficients</w:t>
      </w:r>
      <w:bookmarkEnd w:id="132"/>
    </w:p>
    <w:p w14:paraId="1760B3E3" w14:textId="77777777" w:rsidR="00E72CA9" w:rsidRDefault="00D516E3">
      <w:pPr>
        <w:pStyle w:val="ICRPnumberedparagraph"/>
        <w:tabs>
          <w:tab w:val="left" w:pos="567"/>
        </w:tabs>
        <w:ind w:left="0"/>
      </w:pPr>
      <w:r>
        <w:t xml:space="preserve">Users may wish to align the dose coefficients more closely to the equipment available in their environment by reproducing the beam qualities actually available to them. Alternatively, they may wish to determine the effect of utilising new equipment with different beam qualities. Either are easily done using the approach outlined in Section 6.2. A simple example would be a paediatric radiology department in which abdominal radiographs are performed at 70 kV using a total filtration of 3.0 mm Al + 0.2 mm Cu. The examples provided in the tables only contain coefficients for beam qualities with 3.0 mm Al + 0.1 mm Cu total filtration at 70 kV so the convolution approach must be adopted. </w:t>
      </w:r>
    </w:p>
    <w:p w14:paraId="73E1D737" w14:textId="77777777" w:rsidR="00E72CA9" w:rsidRDefault="00D516E3">
      <w:pPr>
        <w:pStyle w:val="ICRPnumberedparagraph"/>
        <w:ind w:left="0"/>
        <w:rPr>
          <w:color w:val="000000" w:themeColor="text1"/>
        </w:rPr>
      </w:pPr>
      <w:r>
        <w:t>Take the example of an abdominal examination performed on a five-year-old male. A fluence spectrum must first be generated using the user’s preferred software. Then using the methodology outlined in Section 6.1, the file ‘AbdominalAP_mono.xlsx’ is chosen and the 05M tab selected. If the spectrum is calculated at 70 kV using SpekCalc with a 13 degree anode angle, the colon dose coefficient is calculated to be 1.83 mGy Gy</w:t>
      </w:r>
      <w:r>
        <w:rPr>
          <w:vertAlign w:val="superscript"/>
        </w:rPr>
        <w:t>−1</w:t>
      </w:r>
      <w:r>
        <w:t xml:space="preserve"> cm</w:t>
      </w:r>
      <w:r>
        <w:rPr>
          <w:vertAlign w:val="superscript"/>
        </w:rPr>
        <w:t xml:space="preserve">−2 </w:t>
      </w:r>
      <w:r>
        <w:t>and the effective dose  [(</w:t>
      </w:r>
      <w:r>
        <w:rPr>
          <w:i/>
        </w:rPr>
        <w:t>E</w:t>
      </w:r>
      <w:r>
        <w:rPr>
          <w:vertAlign w:val="subscript"/>
        </w:rPr>
        <w:t>103,05M</w:t>
      </w:r>
      <w:r>
        <w:t xml:space="preserve"> + </w:t>
      </w:r>
      <w:r>
        <w:rPr>
          <w:i/>
        </w:rPr>
        <w:t>E</w:t>
      </w:r>
      <w:r>
        <w:rPr>
          <w:vertAlign w:val="subscript"/>
        </w:rPr>
        <w:t>103,05F</w:t>
      </w:r>
      <w:r>
        <w:t>) / 2] is 8.59</w:t>
      </w:r>
      <w:r>
        <w:rPr>
          <w:snapToGrid w:val="0"/>
        </w:rPr>
        <w:t>×</w:t>
      </w:r>
      <w:r>
        <w:t>10</w:t>
      </w:r>
      <w:r>
        <w:rPr>
          <w:vertAlign w:val="superscript"/>
        </w:rPr>
        <w:t xml:space="preserve">−1 </w:t>
      </w:r>
      <w:r>
        <w:t>mSv Gy</w:t>
      </w:r>
      <w:r>
        <w:rPr>
          <w:vertAlign w:val="superscript"/>
        </w:rPr>
        <w:t>−1</w:t>
      </w:r>
      <w:r>
        <w:t xml:space="preserve"> cm</w:t>
      </w:r>
      <w:r>
        <w:rPr>
          <w:vertAlign w:val="superscript"/>
        </w:rPr>
        <w:t>−2</w:t>
      </w:r>
      <w:r>
        <w:t>, assuming that the KAP is the same for both a male and female examination. Alternatively, the radiology department may choose to obtain abdominal radiographs at 65 kV with a beam quality of 3mm Al + 0.1 mm Cu. Use of the convolution approach shows that for a 5-year old male the colon dose coefficient is 1.6 mGy Gy</w:t>
      </w:r>
      <w:r>
        <w:rPr>
          <w:vertAlign w:val="superscript"/>
        </w:rPr>
        <w:t>−1</w:t>
      </w:r>
      <w:r>
        <w:t xml:space="preserve"> cm</w:t>
      </w:r>
      <w:r>
        <w:rPr>
          <w:vertAlign w:val="superscript"/>
        </w:rPr>
        <w:t>−2</w:t>
      </w:r>
      <w:r>
        <w:t xml:space="preserve">. The same approach can be used if a different tube potential is utilised. Table 6.2 shows how the dose coefficients vary with kV and filtration for the examples described. </w:t>
      </w:r>
      <w:r>
        <w:rPr>
          <w:color w:val="000000" w:themeColor="text1"/>
        </w:rPr>
        <w:t>The second column of the table shows the colon dose for a beam quality of 70 kV with 3 mm Al plus 0.1 mm Cu total filtration and presents the results implemented using convolution and also using the spectral table ‘AbdomenAP_Spectral.xlsx’. As expected, and discussed in Section 6.2, in those situations where results can be obtained using either convolution or table, there is no difference between them.</w:t>
      </w:r>
    </w:p>
    <w:p w14:paraId="3A0A4B52" w14:textId="77777777" w:rsidR="00E72CA9" w:rsidRDefault="00E72CA9">
      <w:pPr>
        <w:pStyle w:val="ICRPnumberedparagraph"/>
        <w:numPr>
          <w:ilvl w:val="0"/>
          <w:numId w:val="0"/>
        </w:numPr>
      </w:pPr>
    </w:p>
    <w:p w14:paraId="37F869D2" w14:textId="77777777" w:rsidR="00E72CA9" w:rsidRDefault="00D516E3">
      <w:pPr>
        <w:pStyle w:val="ICRPnumberedparagraph"/>
        <w:numPr>
          <w:ilvl w:val="0"/>
          <w:numId w:val="0"/>
        </w:numPr>
      </w:pPr>
      <w:bookmarkStart w:id="133" w:name="_Hlk158753918"/>
      <w:r>
        <w:t xml:space="preserve">Table 6.2. </w:t>
      </w:r>
      <w:bookmarkEnd w:id="133"/>
      <w:r>
        <w:t>Variation of the colon and effective dose coefficient due to different beam filtration for a 5-year-old male.</w:t>
      </w:r>
    </w:p>
    <w:tbl>
      <w:tblPr>
        <w:tblW w:w="9072" w:type="dxa"/>
        <w:tblLook w:val="04A0" w:firstRow="1" w:lastRow="0" w:firstColumn="1" w:lastColumn="0" w:noHBand="0" w:noVBand="1"/>
      </w:tblPr>
      <w:tblGrid>
        <w:gridCol w:w="1420"/>
        <w:gridCol w:w="690"/>
        <w:gridCol w:w="1197"/>
        <w:gridCol w:w="636"/>
        <w:gridCol w:w="1277"/>
        <w:gridCol w:w="708"/>
        <w:gridCol w:w="1205"/>
        <w:gridCol w:w="756"/>
        <w:gridCol w:w="1183"/>
      </w:tblGrid>
      <w:tr w:rsidR="00E72CA9" w14:paraId="0E660437" w14:textId="77777777">
        <w:tc>
          <w:tcPr>
            <w:tcW w:w="1420" w:type="dxa"/>
            <w:vMerge w:val="restart"/>
            <w:tcBorders>
              <w:top w:val="single" w:sz="4" w:space="0" w:color="auto"/>
              <w:left w:val="nil"/>
              <w:bottom w:val="single" w:sz="4" w:space="0" w:color="000000"/>
              <w:right w:val="nil"/>
            </w:tcBorders>
            <w:shd w:val="clear" w:color="auto" w:fill="auto"/>
            <w:noWrap/>
            <w:tcMar>
              <w:left w:w="28" w:type="dxa"/>
              <w:right w:w="28" w:type="dxa"/>
            </w:tcMar>
            <w:vAlign w:val="bottom"/>
            <w:hideMark/>
          </w:tcPr>
          <w:p w14:paraId="50007FBF" w14:textId="77777777" w:rsidR="00E72CA9" w:rsidRDefault="00D516E3">
            <w:pPr>
              <w:rPr>
                <w:rFonts w:eastAsia="Times New Roman"/>
                <w:color w:val="000000"/>
                <w:sz w:val="22"/>
                <w:lang w:eastAsia="ja-JP"/>
              </w:rPr>
            </w:pPr>
            <w:r>
              <w:rPr>
                <w:rFonts w:eastAsia="Times New Roman"/>
                <w:color w:val="000000"/>
                <w:sz w:val="22"/>
                <w:lang w:eastAsia="ja-JP"/>
              </w:rPr>
              <w:t>Beam quality</w:t>
            </w:r>
          </w:p>
        </w:tc>
        <w:tc>
          <w:tcPr>
            <w:tcW w:w="0" w:type="auto"/>
            <w:gridSpan w:val="8"/>
            <w:tcBorders>
              <w:top w:val="single" w:sz="4" w:space="0" w:color="auto"/>
              <w:left w:val="nil"/>
              <w:bottom w:val="nil"/>
              <w:right w:val="nil"/>
            </w:tcBorders>
            <w:shd w:val="clear" w:color="auto" w:fill="auto"/>
            <w:noWrap/>
            <w:tcMar>
              <w:left w:w="28" w:type="dxa"/>
              <w:right w:w="28" w:type="dxa"/>
            </w:tcMar>
            <w:vAlign w:val="bottom"/>
            <w:hideMark/>
          </w:tcPr>
          <w:p w14:paraId="3E318FCA" w14:textId="77777777" w:rsidR="00E72CA9" w:rsidRDefault="00D516E3">
            <w:pPr>
              <w:jc w:val="center"/>
              <w:rPr>
                <w:rFonts w:eastAsia="Times New Roman"/>
                <w:color w:val="000000"/>
                <w:sz w:val="22"/>
                <w:lang w:eastAsia="ja-JP"/>
              </w:rPr>
            </w:pPr>
            <w:r>
              <w:rPr>
                <w:rFonts w:eastAsia="Times New Roman"/>
                <w:color w:val="000000"/>
                <w:sz w:val="22"/>
                <w:lang w:eastAsia="ja-JP"/>
              </w:rPr>
              <w:t>Dose coefficient (mGy Gy</w:t>
            </w:r>
            <w:r>
              <w:rPr>
                <w:rFonts w:eastAsia="Times New Roman"/>
                <w:color w:val="000000"/>
                <w:sz w:val="22"/>
                <w:vertAlign w:val="superscript"/>
                <w:lang w:eastAsia="ja-JP"/>
              </w:rPr>
              <w:t>−1</w:t>
            </w:r>
            <w:r>
              <w:rPr>
                <w:rFonts w:eastAsia="Times New Roman"/>
                <w:color w:val="000000"/>
                <w:sz w:val="22"/>
                <w:lang w:eastAsia="ja-JP"/>
              </w:rPr>
              <w:t xml:space="preserve"> cm</w:t>
            </w:r>
            <w:r>
              <w:rPr>
                <w:rFonts w:eastAsia="Times New Roman"/>
                <w:color w:val="000000"/>
                <w:sz w:val="22"/>
                <w:vertAlign w:val="superscript"/>
                <w:lang w:eastAsia="ja-JP"/>
              </w:rPr>
              <w:t>−2</w:t>
            </w:r>
            <w:r>
              <w:rPr>
                <w:rFonts w:eastAsia="Times New Roman"/>
                <w:color w:val="000000"/>
                <w:sz w:val="22"/>
                <w:lang w:eastAsia="ja-JP"/>
              </w:rPr>
              <w:t>)</w:t>
            </w:r>
          </w:p>
        </w:tc>
      </w:tr>
      <w:tr w:rsidR="00E72CA9" w14:paraId="04A66357" w14:textId="77777777">
        <w:tc>
          <w:tcPr>
            <w:tcW w:w="1420" w:type="dxa"/>
            <w:vMerge/>
            <w:tcBorders>
              <w:top w:val="single" w:sz="4" w:space="0" w:color="auto"/>
              <w:left w:val="nil"/>
              <w:bottom w:val="single" w:sz="4" w:space="0" w:color="000000"/>
              <w:right w:val="nil"/>
            </w:tcBorders>
            <w:tcMar>
              <w:left w:w="28" w:type="dxa"/>
              <w:right w:w="28" w:type="dxa"/>
            </w:tcMar>
            <w:vAlign w:val="center"/>
            <w:hideMark/>
          </w:tcPr>
          <w:p w14:paraId="7ABC5E8F" w14:textId="77777777" w:rsidR="00E72CA9" w:rsidRDefault="00E72CA9">
            <w:pPr>
              <w:rPr>
                <w:rFonts w:eastAsia="Times New Roman"/>
                <w:color w:val="000000"/>
                <w:sz w:val="22"/>
                <w:lang w:eastAsia="ja-JP"/>
              </w:rPr>
            </w:pPr>
          </w:p>
        </w:tc>
        <w:tc>
          <w:tcPr>
            <w:tcW w:w="0" w:type="auto"/>
            <w:gridSpan w:val="2"/>
            <w:tcBorders>
              <w:top w:val="single" w:sz="4" w:space="0" w:color="auto"/>
              <w:left w:val="nil"/>
              <w:bottom w:val="single" w:sz="4" w:space="0" w:color="auto"/>
              <w:right w:val="nil"/>
            </w:tcBorders>
            <w:shd w:val="clear" w:color="auto" w:fill="auto"/>
            <w:noWrap/>
            <w:tcMar>
              <w:left w:w="28" w:type="dxa"/>
              <w:right w:w="28" w:type="dxa"/>
            </w:tcMar>
            <w:vAlign w:val="bottom"/>
            <w:hideMark/>
          </w:tcPr>
          <w:p w14:paraId="27849713" w14:textId="77777777" w:rsidR="00E72CA9" w:rsidRDefault="00D516E3">
            <w:pPr>
              <w:jc w:val="center"/>
              <w:rPr>
                <w:rFonts w:eastAsia="Times New Roman"/>
                <w:color w:val="000000"/>
                <w:sz w:val="22"/>
                <w:lang w:eastAsia="ja-JP"/>
              </w:rPr>
            </w:pPr>
            <w:r>
              <w:rPr>
                <w:rFonts w:eastAsia="Times New Roman"/>
                <w:color w:val="000000"/>
                <w:sz w:val="22"/>
                <w:lang w:eastAsia="ja-JP"/>
              </w:rPr>
              <w:t>Colon</w:t>
            </w:r>
          </w:p>
        </w:tc>
        <w:tc>
          <w:tcPr>
            <w:tcW w:w="1913" w:type="dxa"/>
            <w:gridSpan w:val="2"/>
            <w:tcBorders>
              <w:top w:val="single" w:sz="4" w:space="0" w:color="auto"/>
              <w:left w:val="nil"/>
              <w:bottom w:val="single" w:sz="4" w:space="0" w:color="auto"/>
              <w:right w:val="nil"/>
            </w:tcBorders>
            <w:shd w:val="clear" w:color="auto" w:fill="auto"/>
            <w:noWrap/>
            <w:tcMar>
              <w:left w:w="28" w:type="dxa"/>
              <w:right w:w="28" w:type="dxa"/>
            </w:tcMar>
            <w:vAlign w:val="bottom"/>
            <w:hideMark/>
          </w:tcPr>
          <w:p w14:paraId="24A488F3" w14:textId="77777777" w:rsidR="00E72CA9" w:rsidRDefault="00D516E3">
            <w:pPr>
              <w:jc w:val="center"/>
              <w:rPr>
                <w:rFonts w:eastAsia="Times New Roman"/>
                <w:color w:val="000000"/>
                <w:sz w:val="22"/>
                <w:lang w:eastAsia="ja-JP"/>
              </w:rPr>
            </w:pPr>
            <w:r>
              <w:rPr>
                <w:rFonts w:eastAsia="Times New Roman"/>
                <w:color w:val="000000"/>
                <w:sz w:val="22"/>
                <w:lang w:eastAsia="ja-JP"/>
              </w:rPr>
              <w:t>E</w:t>
            </w:r>
            <w:r>
              <w:rPr>
                <w:rFonts w:eastAsia="Times New Roman"/>
                <w:color w:val="000000"/>
                <w:sz w:val="22"/>
                <w:vertAlign w:val="subscript"/>
                <w:lang w:eastAsia="ja-JP"/>
              </w:rPr>
              <w:t>103,F</w:t>
            </w:r>
          </w:p>
        </w:tc>
        <w:tc>
          <w:tcPr>
            <w:tcW w:w="1913" w:type="dxa"/>
            <w:gridSpan w:val="2"/>
            <w:tcBorders>
              <w:top w:val="single" w:sz="4" w:space="0" w:color="auto"/>
              <w:left w:val="nil"/>
              <w:bottom w:val="single" w:sz="4" w:space="0" w:color="auto"/>
              <w:right w:val="nil"/>
            </w:tcBorders>
            <w:shd w:val="clear" w:color="auto" w:fill="auto"/>
            <w:noWrap/>
            <w:tcMar>
              <w:left w:w="28" w:type="dxa"/>
              <w:right w:w="28" w:type="dxa"/>
            </w:tcMar>
            <w:vAlign w:val="bottom"/>
            <w:hideMark/>
          </w:tcPr>
          <w:p w14:paraId="57268BF9" w14:textId="77777777" w:rsidR="00E72CA9" w:rsidRDefault="00D516E3">
            <w:pPr>
              <w:jc w:val="center"/>
              <w:rPr>
                <w:rFonts w:eastAsia="Times New Roman"/>
                <w:color w:val="000000"/>
                <w:sz w:val="22"/>
                <w:lang w:eastAsia="ja-JP"/>
              </w:rPr>
            </w:pPr>
            <w:r>
              <w:rPr>
                <w:rFonts w:eastAsia="Times New Roman"/>
                <w:color w:val="000000"/>
                <w:sz w:val="22"/>
                <w:lang w:eastAsia="ja-JP"/>
              </w:rPr>
              <w:t>E</w:t>
            </w:r>
            <w:r>
              <w:rPr>
                <w:rFonts w:eastAsia="Times New Roman"/>
                <w:color w:val="000000"/>
                <w:sz w:val="22"/>
                <w:vertAlign w:val="subscript"/>
                <w:lang w:eastAsia="ja-JP"/>
              </w:rPr>
              <w:t>103,M</w:t>
            </w:r>
          </w:p>
        </w:tc>
        <w:tc>
          <w:tcPr>
            <w:tcW w:w="0" w:type="auto"/>
            <w:gridSpan w:val="2"/>
            <w:tcBorders>
              <w:top w:val="single" w:sz="4" w:space="0" w:color="auto"/>
              <w:left w:val="nil"/>
              <w:bottom w:val="single" w:sz="4" w:space="0" w:color="auto"/>
              <w:right w:val="nil"/>
            </w:tcBorders>
            <w:shd w:val="clear" w:color="auto" w:fill="auto"/>
            <w:vAlign w:val="bottom"/>
          </w:tcPr>
          <w:p w14:paraId="7CD4A40C" w14:textId="77777777" w:rsidR="00E72CA9" w:rsidRDefault="00D516E3">
            <w:pPr>
              <w:jc w:val="center"/>
              <w:rPr>
                <w:rFonts w:eastAsia="Times New Roman"/>
                <w:color w:val="000000"/>
                <w:sz w:val="22"/>
                <w:lang w:eastAsia="ja-JP"/>
              </w:rPr>
            </w:pPr>
            <w:r>
              <w:rPr>
                <w:rFonts w:eastAsia="Times New Roman"/>
                <w:color w:val="000000"/>
                <w:sz w:val="22"/>
                <w:lang w:eastAsia="ja-JP"/>
              </w:rPr>
              <w:t>E</w:t>
            </w:r>
            <w:r>
              <w:rPr>
                <w:rFonts w:eastAsia="Times New Roman"/>
                <w:color w:val="000000"/>
                <w:sz w:val="22"/>
                <w:vertAlign w:val="subscript"/>
                <w:lang w:eastAsia="ja-JP"/>
              </w:rPr>
              <w:t>103</w:t>
            </w:r>
          </w:p>
        </w:tc>
      </w:tr>
      <w:tr w:rsidR="00E72CA9" w14:paraId="3C3E7638" w14:textId="77777777">
        <w:tc>
          <w:tcPr>
            <w:tcW w:w="1420" w:type="dxa"/>
            <w:vMerge/>
            <w:tcBorders>
              <w:top w:val="single" w:sz="4" w:space="0" w:color="auto"/>
              <w:left w:val="nil"/>
              <w:bottom w:val="single" w:sz="4" w:space="0" w:color="000000"/>
              <w:right w:val="nil"/>
            </w:tcBorders>
            <w:tcMar>
              <w:left w:w="28" w:type="dxa"/>
              <w:right w:w="28" w:type="dxa"/>
            </w:tcMar>
            <w:vAlign w:val="center"/>
            <w:hideMark/>
          </w:tcPr>
          <w:p w14:paraId="7E3DA132" w14:textId="77777777" w:rsidR="00E72CA9" w:rsidRDefault="00E72CA9">
            <w:pPr>
              <w:rPr>
                <w:rFonts w:eastAsia="Times New Roman"/>
                <w:color w:val="000000"/>
                <w:sz w:val="22"/>
                <w:lang w:eastAsia="ja-JP"/>
              </w:rPr>
            </w:pPr>
          </w:p>
        </w:tc>
        <w:tc>
          <w:tcPr>
            <w:tcW w:w="707" w:type="dxa"/>
            <w:tcBorders>
              <w:top w:val="nil"/>
              <w:left w:val="nil"/>
              <w:bottom w:val="single" w:sz="4" w:space="0" w:color="auto"/>
              <w:right w:val="nil"/>
            </w:tcBorders>
            <w:shd w:val="clear" w:color="auto" w:fill="auto"/>
            <w:tcMar>
              <w:left w:w="28" w:type="dxa"/>
              <w:right w:w="28" w:type="dxa"/>
            </w:tcMar>
            <w:vAlign w:val="bottom"/>
            <w:hideMark/>
          </w:tcPr>
          <w:p w14:paraId="1D5DFBE5" w14:textId="77777777" w:rsidR="00E72CA9" w:rsidRDefault="00D516E3">
            <w:pPr>
              <w:rPr>
                <w:rFonts w:eastAsia="Times New Roman"/>
                <w:color w:val="000000"/>
                <w:sz w:val="22"/>
                <w:lang w:eastAsia="ja-JP"/>
              </w:rPr>
            </w:pPr>
            <w:r>
              <w:rPr>
                <w:rFonts w:eastAsia="Times New Roman"/>
                <w:color w:val="000000"/>
                <w:sz w:val="22"/>
                <w:lang w:eastAsia="ja-JP"/>
              </w:rPr>
              <w:t>From</w:t>
            </w:r>
          </w:p>
          <w:p w14:paraId="39953611" w14:textId="77777777" w:rsidR="00E72CA9" w:rsidRDefault="00D516E3">
            <w:pPr>
              <w:rPr>
                <w:rFonts w:eastAsia="Times New Roman"/>
                <w:color w:val="000000"/>
                <w:sz w:val="22"/>
                <w:lang w:eastAsia="ja-JP"/>
              </w:rPr>
            </w:pPr>
            <w:r>
              <w:rPr>
                <w:rFonts w:eastAsia="Times New Roman"/>
                <w:color w:val="000000"/>
                <w:sz w:val="22"/>
                <w:lang w:eastAsia="ja-JP"/>
              </w:rPr>
              <w:t>table</w:t>
            </w:r>
          </w:p>
        </w:tc>
        <w:tc>
          <w:tcPr>
            <w:tcW w:w="1206" w:type="dxa"/>
            <w:tcBorders>
              <w:top w:val="nil"/>
              <w:left w:val="nil"/>
              <w:bottom w:val="single" w:sz="4" w:space="0" w:color="auto"/>
              <w:right w:val="nil"/>
            </w:tcBorders>
            <w:shd w:val="clear" w:color="auto" w:fill="auto"/>
            <w:tcMar>
              <w:left w:w="28" w:type="dxa"/>
              <w:right w:w="28" w:type="dxa"/>
            </w:tcMar>
            <w:vAlign w:val="bottom"/>
            <w:hideMark/>
          </w:tcPr>
          <w:p w14:paraId="2C47F4A8" w14:textId="77777777" w:rsidR="00E72CA9" w:rsidRDefault="00D516E3">
            <w:pPr>
              <w:rPr>
                <w:rFonts w:eastAsia="Times New Roman"/>
                <w:color w:val="000000"/>
                <w:sz w:val="22"/>
                <w:lang w:eastAsia="ja-JP"/>
              </w:rPr>
            </w:pPr>
            <w:r>
              <w:rPr>
                <w:rFonts w:eastAsia="Times New Roman"/>
                <w:color w:val="000000"/>
                <w:sz w:val="22"/>
                <w:lang w:eastAsia="ja-JP"/>
              </w:rPr>
              <w:t>Using convolution</w:t>
            </w:r>
          </w:p>
        </w:tc>
        <w:tc>
          <w:tcPr>
            <w:tcW w:w="636" w:type="dxa"/>
            <w:tcBorders>
              <w:top w:val="nil"/>
              <w:left w:val="nil"/>
              <w:bottom w:val="single" w:sz="4" w:space="0" w:color="auto"/>
              <w:right w:val="nil"/>
            </w:tcBorders>
            <w:shd w:val="clear" w:color="auto" w:fill="auto"/>
            <w:tcMar>
              <w:left w:w="28" w:type="dxa"/>
              <w:right w:w="28" w:type="dxa"/>
            </w:tcMar>
            <w:vAlign w:val="bottom"/>
            <w:hideMark/>
          </w:tcPr>
          <w:p w14:paraId="5F8199A3" w14:textId="77777777" w:rsidR="00E72CA9" w:rsidRDefault="00D516E3">
            <w:pPr>
              <w:rPr>
                <w:rFonts w:eastAsia="Times New Roman"/>
                <w:color w:val="000000"/>
                <w:sz w:val="22"/>
                <w:lang w:eastAsia="ja-JP"/>
              </w:rPr>
            </w:pPr>
            <w:r>
              <w:rPr>
                <w:rFonts w:eastAsia="Times New Roman"/>
                <w:color w:val="000000"/>
                <w:sz w:val="22"/>
                <w:lang w:eastAsia="ja-JP"/>
              </w:rPr>
              <w:t>From</w:t>
            </w:r>
          </w:p>
          <w:p w14:paraId="09EFDC6F" w14:textId="77777777" w:rsidR="00E72CA9" w:rsidRDefault="00D516E3">
            <w:pPr>
              <w:rPr>
                <w:rFonts w:eastAsia="Times New Roman"/>
                <w:color w:val="000000"/>
                <w:sz w:val="22"/>
                <w:lang w:eastAsia="ja-JP"/>
              </w:rPr>
            </w:pPr>
            <w:r>
              <w:rPr>
                <w:rFonts w:eastAsia="Times New Roman"/>
                <w:color w:val="000000"/>
                <w:sz w:val="22"/>
                <w:lang w:eastAsia="ja-JP"/>
              </w:rPr>
              <w:t>table</w:t>
            </w:r>
          </w:p>
        </w:tc>
        <w:tc>
          <w:tcPr>
            <w:tcW w:w="1191" w:type="dxa"/>
            <w:tcBorders>
              <w:top w:val="nil"/>
              <w:left w:val="nil"/>
              <w:bottom w:val="single" w:sz="4" w:space="0" w:color="auto"/>
              <w:right w:val="nil"/>
            </w:tcBorders>
            <w:shd w:val="clear" w:color="auto" w:fill="auto"/>
            <w:tcMar>
              <w:left w:w="28" w:type="dxa"/>
              <w:right w:w="28" w:type="dxa"/>
            </w:tcMar>
            <w:vAlign w:val="bottom"/>
            <w:hideMark/>
          </w:tcPr>
          <w:p w14:paraId="51E8361C" w14:textId="77777777" w:rsidR="00E72CA9" w:rsidRDefault="00D516E3">
            <w:pPr>
              <w:rPr>
                <w:rFonts w:eastAsia="Times New Roman"/>
                <w:color w:val="000000"/>
                <w:sz w:val="22"/>
                <w:lang w:eastAsia="ja-JP"/>
              </w:rPr>
            </w:pPr>
            <w:r>
              <w:rPr>
                <w:rFonts w:eastAsia="Times New Roman"/>
                <w:color w:val="000000"/>
                <w:sz w:val="22"/>
                <w:lang w:eastAsia="ja-JP"/>
              </w:rPr>
              <w:t>Using convolution</w:t>
            </w:r>
          </w:p>
        </w:tc>
        <w:tc>
          <w:tcPr>
            <w:tcW w:w="708" w:type="dxa"/>
            <w:tcBorders>
              <w:top w:val="nil"/>
              <w:left w:val="nil"/>
              <w:bottom w:val="single" w:sz="4" w:space="0" w:color="auto"/>
              <w:right w:val="nil"/>
            </w:tcBorders>
            <w:shd w:val="clear" w:color="auto" w:fill="auto"/>
            <w:tcMar>
              <w:left w:w="28" w:type="dxa"/>
              <w:right w:w="28" w:type="dxa"/>
            </w:tcMar>
            <w:vAlign w:val="bottom"/>
            <w:hideMark/>
          </w:tcPr>
          <w:p w14:paraId="5470BB52" w14:textId="77777777" w:rsidR="00E72CA9" w:rsidRDefault="00D516E3">
            <w:pPr>
              <w:rPr>
                <w:rFonts w:eastAsia="Times New Roman"/>
                <w:color w:val="000000"/>
                <w:sz w:val="22"/>
                <w:lang w:eastAsia="ja-JP"/>
              </w:rPr>
            </w:pPr>
            <w:r>
              <w:rPr>
                <w:rFonts w:eastAsia="Times New Roman"/>
                <w:color w:val="000000"/>
                <w:sz w:val="22"/>
                <w:lang w:eastAsia="ja-JP"/>
              </w:rPr>
              <w:t>From</w:t>
            </w:r>
          </w:p>
          <w:p w14:paraId="03CF08E4" w14:textId="77777777" w:rsidR="00E72CA9" w:rsidRDefault="00D516E3">
            <w:pPr>
              <w:rPr>
                <w:rFonts w:eastAsia="Times New Roman"/>
                <w:color w:val="000000"/>
                <w:sz w:val="22"/>
                <w:lang w:eastAsia="ja-JP"/>
              </w:rPr>
            </w:pPr>
            <w:r>
              <w:rPr>
                <w:rFonts w:eastAsia="Times New Roman"/>
                <w:color w:val="000000"/>
                <w:sz w:val="22"/>
                <w:lang w:eastAsia="ja-JP"/>
              </w:rPr>
              <w:t>table</w:t>
            </w:r>
          </w:p>
        </w:tc>
        <w:tc>
          <w:tcPr>
            <w:tcW w:w="1205" w:type="dxa"/>
            <w:tcBorders>
              <w:top w:val="nil"/>
              <w:left w:val="nil"/>
              <w:bottom w:val="single" w:sz="4" w:space="0" w:color="auto"/>
              <w:right w:val="nil"/>
            </w:tcBorders>
            <w:shd w:val="clear" w:color="auto" w:fill="auto"/>
            <w:tcMar>
              <w:left w:w="28" w:type="dxa"/>
              <w:right w:w="28" w:type="dxa"/>
            </w:tcMar>
            <w:vAlign w:val="bottom"/>
            <w:hideMark/>
          </w:tcPr>
          <w:p w14:paraId="3894CCF9" w14:textId="77777777" w:rsidR="00E72CA9" w:rsidRDefault="00D516E3">
            <w:pPr>
              <w:rPr>
                <w:rFonts w:eastAsia="Times New Roman"/>
                <w:color w:val="000000"/>
                <w:sz w:val="22"/>
                <w:lang w:eastAsia="ja-JP"/>
              </w:rPr>
            </w:pPr>
            <w:r>
              <w:rPr>
                <w:rFonts w:eastAsia="Times New Roman"/>
                <w:color w:val="000000"/>
                <w:sz w:val="22"/>
                <w:lang w:eastAsia="ja-JP"/>
              </w:rPr>
              <w:t>Using convolution</w:t>
            </w:r>
          </w:p>
        </w:tc>
        <w:tc>
          <w:tcPr>
            <w:tcW w:w="779" w:type="dxa"/>
            <w:tcBorders>
              <w:top w:val="nil"/>
              <w:left w:val="nil"/>
              <w:bottom w:val="single" w:sz="4" w:space="0" w:color="auto"/>
              <w:right w:val="nil"/>
            </w:tcBorders>
            <w:shd w:val="clear" w:color="auto" w:fill="auto"/>
            <w:tcMar>
              <w:left w:w="28" w:type="dxa"/>
              <w:right w:w="28" w:type="dxa"/>
            </w:tcMar>
            <w:vAlign w:val="bottom"/>
            <w:hideMark/>
          </w:tcPr>
          <w:p w14:paraId="3F884480" w14:textId="77777777" w:rsidR="00E72CA9" w:rsidRDefault="00D516E3">
            <w:pPr>
              <w:rPr>
                <w:rFonts w:eastAsia="Times New Roman"/>
                <w:color w:val="000000"/>
                <w:sz w:val="22"/>
                <w:lang w:eastAsia="ja-JP"/>
              </w:rPr>
            </w:pPr>
            <w:r>
              <w:rPr>
                <w:rFonts w:eastAsia="Times New Roman"/>
                <w:color w:val="000000"/>
                <w:sz w:val="22"/>
                <w:lang w:eastAsia="ja-JP"/>
              </w:rPr>
              <w:t>From</w:t>
            </w:r>
          </w:p>
          <w:p w14:paraId="69B8A662" w14:textId="77777777" w:rsidR="00E72CA9" w:rsidRDefault="00D516E3">
            <w:pPr>
              <w:rPr>
                <w:rFonts w:eastAsia="Times New Roman"/>
                <w:color w:val="000000"/>
                <w:sz w:val="22"/>
                <w:lang w:eastAsia="ja-JP"/>
              </w:rPr>
            </w:pPr>
            <w:r>
              <w:rPr>
                <w:rFonts w:eastAsia="Times New Roman"/>
                <w:color w:val="000000"/>
                <w:sz w:val="22"/>
                <w:lang w:eastAsia="ja-JP"/>
              </w:rPr>
              <w:t>table</w:t>
            </w:r>
          </w:p>
        </w:tc>
        <w:tc>
          <w:tcPr>
            <w:tcW w:w="1191" w:type="dxa"/>
            <w:tcBorders>
              <w:top w:val="nil"/>
              <w:left w:val="nil"/>
              <w:bottom w:val="single" w:sz="4" w:space="0" w:color="auto"/>
              <w:right w:val="nil"/>
            </w:tcBorders>
            <w:shd w:val="clear" w:color="auto" w:fill="auto"/>
            <w:tcMar>
              <w:left w:w="28" w:type="dxa"/>
              <w:right w:w="28" w:type="dxa"/>
            </w:tcMar>
            <w:vAlign w:val="bottom"/>
            <w:hideMark/>
          </w:tcPr>
          <w:p w14:paraId="6BD3ED2B" w14:textId="77777777" w:rsidR="00E72CA9" w:rsidRDefault="00D516E3">
            <w:pPr>
              <w:rPr>
                <w:rFonts w:eastAsia="Times New Roman"/>
                <w:color w:val="000000"/>
                <w:sz w:val="22"/>
                <w:lang w:eastAsia="ja-JP"/>
              </w:rPr>
            </w:pPr>
            <w:r>
              <w:rPr>
                <w:rFonts w:eastAsia="Times New Roman"/>
                <w:color w:val="000000"/>
                <w:sz w:val="22"/>
                <w:lang w:eastAsia="ja-JP"/>
              </w:rPr>
              <w:t>Using convolution</w:t>
            </w:r>
          </w:p>
        </w:tc>
      </w:tr>
      <w:tr w:rsidR="00E72CA9" w14:paraId="04765196" w14:textId="77777777">
        <w:tc>
          <w:tcPr>
            <w:tcW w:w="1420" w:type="dxa"/>
            <w:tcBorders>
              <w:top w:val="nil"/>
              <w:left w:val="nil"/>
              <w:bottom w:val="dashSmallGap" w:sz="4" w:space="0" w:color="auto"/>
              <w:right w:val="nil"/>
            </w:tcBorders>
            <w:shd w:val="clear" w:color="auto" w:fill="auto"/>
            <w:tcMar>
              <w:left w:w="28" w:type="dxa"/>
              <w:right w:w="28" w:type="dxa"/>
            </w:tcMar>
            <w:vAlign w:val="bottom"/>
            <w:hideMark/>
          </w:tcPr>
          <w:p w14:paraId="434A15E4" w14:textId="77777777" w:rsidR="00E72CA9" w:rsidRDefault="00D516E3">
            <w:pPr>
              <w:rPr>
                <w:rFonts w:eastAsia="Times New Roman"/>
                <w:color w:val="000000"/>
                <w:sz w:val="22"/>
                <w:lang w:eastAsia="ja-JP"/>
              </w:rPr>
            </w:pPr>
            <w:r>
              <w:rPr>
                <w:rFonts w:eastAsia="Times New Roman"/>
                <w:color w:val="000000"/>
                <w:sz w:val="22"/>
                <w:lang w:eastAsia="ja-JP"/>
              </w:rPr>
              <w:t xml:space="preserve">70 kV, </w:t>
            </w:r>
            <w:r>
              <w:rPr>
                <w:rFonts w:eastAsia="Times New Roman"/>
                <w:color w:val="000000"/>
                <w:sz w:val="22"/>
                <w:lang w:eastAsia="ja-JP"/>
              </w:rPr>
              <w:br/>
              <w:t>3mm Al</w:t>
            </w:r>
            <w:r>
              <w:rPr>
                <w:rFonts w:eastAsia="Times New Roman"/>
                <w:color w:val="000000"/>
                <w:sz w:val="22"/>
                <w:lang w:eastAsia="ja-JP"/>
              </w:rPr>
              <w:br/>
              <w:t>+ 0.1 mm Cu</w:t>
            </w:r>
          </w:p>
        </w:tc>
        <w:tc>
          <w:tcPr>
            <w:tcW w:w="707" w:type="dxa"/>
            <w:tcBorders>
              <w:top w:val="nil"/>
              <w:left w:val="nil"/>
              <w:bottom w:val="dashSmallGap" w:sz="4" w:space="0" w:color="auto"/>
              <w:right w:val="nil"/>
            </w:tcBorders>
            <w:shd w:val="clear" w:color="auto" w:fill="auto"/>
            <w:tcMar>
              <w:left w:w="28" w:type="dxa"/>
              <w:right w:w="28" w:type="dxa"/>
            </w:tcMar>
            <w:vAlign w:val="center"/>
            <w:hideMark/>
          </w:tcPr>
          <w:p w14:paraId="0C36939D" w14:textId="77777777" w:rsidR="00E72CA9" w:rsidRDefault="00D516E3">
            <w:pPr>
              <w:rPr>
                <w:rFonts w:eastAsia="Times New Roman"/>
                <w:color w:val="000000"/>
                <w:sz w:val="22"/>
                <w:lang w:eastAsia="ja-JP"/>
              </w:rPr>
            </w:pPr>
            <w:r>
              <w:rPr>
                <w:rFonts w:eastAsia="Times New Roman"/>
                <w:color w:val="000000"/>
                <w:sz w:val="22"/>
                <w:lang w:eastAsia="ja-JP"/>
              </w:rPr>
              <w:t>1.65</w:t>
            </w:r>
          </w:p>
        </w:tc>
        <w:tc>
          <w:tcPr>
            <w:tcW w:w="1206" w:type="dxa"/>
            <w:tcBorders>
              <w:top w:val="nil"/>
              <w:left w:val="nil"/>
              <w:bottom w:val="dashSmallGap" w:sz="4" w:space="0" w:color="auto"/>
              <w:right w:val="nil"/>
            </w:tcBorders>
            <w:shd w:val="clear" w:color="auto" w:fill="auto"/>
            <w:tcMar>
              <w:left w:w="28" w:type="dxa"/>
              <w:right w:w="28" w:type="dxa"/>
            </w:tcMar>
            <w:vAlign w:val="center"/>
            <w:hideMark/>
          </w:tcPr>
          <w:p w14:paraId="24C9A1F6" w14:textId="77777777" w:rsidR="00E72CA9" w:rsidRDefault="00D516E3">
            <w:pPr>
              <w:rPr>
                <w:rFonts w:eastAsia="Times New Roman"/>
                <w:color w:val="000000"/>
                <w:sz w:val="22"/>
                <w:lang w:eastAsia="ja-JP"/>
              </w:rPr>
            </w:pPr>
            <w:r>
              <w:rPr>
                <w:rFonts w:eastAsia="Times New Roman"/>
                <w:color w:val="000000"/>
                <w:sz w:val="22"/>
                <w:lang w:eastAsia="ja-JP"/>
              </w:rPr>
              <w:t>1.65</w:t>
            </w:r>
          </w:p>
        </w:tc>
        <w:tc>
          <w:tcPr>
            <w:tcW w:w="636" w:type="dxa"/>
            <w:tcBorders>
              <w:top w:val="nil"/>
              <w:left w:val="nil"/>
              <w:bottom w:val="dashSmallGap" w:sz="4" w:space="0" w:color="auto"/>
              <w:right w:val="nil"/>
            </w:tcBorders>
            <w:shd w:val="clear" w:color="auto" w:fill="auto"/>
            <w:tcMar>
              <w:left w:w="28" w:type="dxa"/>
              <w:right w:w="28" w:type="dxa"/>
            </w:tcMar>
            <w:vAlign w:val="center"/>
            <w:hideMark/>
          </w:tcPr>
          <w:p w14:paraId="66572F7C" w14:textId="77777777" w:rsidR="00E72CA9" w:rsidRDefault="00D516E3">
            <w:pPr>
              <w:rPr>
                <w:rFonts w:eastAsia="Times New Roman"/>
                <w:color w:val="000000"/>
                <w:sz w:val="22"/>
                <w:lang w:eastAsia="ja-JP"/>
              </w:rPr>
            </w:pPr>
            <w:r>
              <w:rPr>
                <w:rFonts w:eastAsia="Times New Roman"/>
                <w:color w:val="000000"/>
                <w:sz w:val="22"/>
                <w:lang w:eastAsia="ja-JP"/>
              </w:rPr>
              <w:t>0.75</w:t>
            </w:r>
          </w:p>
        </w:tc>
        <w:tc>
          <w:tcPr>
            <w:tcW w:w="1191" w:type="dxa"/>
            <w:tcBorders>
              <w:top w:val="nil"/>
              <w:left w:val="nil"/>
              <w:bottom w:val="dashSmallGap" w:sz="4" w:space="0" w:color="auto"/>
              <w:right w:val="nil"/>
            </w:tcBorders>
            <w:shd w:val="clear" w:color="auto" w:fill="auto"/>
            <w:tcMar>
              <w:left w:w="28" w:type="dxa"/>
              <w:right w:w="28" w:type="dxa"/>
            </w:tcMar>
            <w:vAlign w:val="center"/>
            <w:hideMark/>
          </w:tcPr>
          <w:p w14:paraId="39C58F13" w14:textId="77777777" w:rsidR="00E72CA9" w:rsidRDefault="00D516E3">
            <w:pPr>
              <w:rPr>
                <w:rFonts w:eastAsia="Times New Roman"/>
                <w:color w:val="000000"/>
                <w:sz w:val="22"/>
                <w:lang w:eastAsia="ja-JP"/>
              </w:rPr>
            </w:pPr>
            <w:r>
              <w:rPr>
                <w:rFonts w:eastAsia="Times New Roman"/>
                <w:color w:val="000000"/>
                <w:sz w:val="22"/>
                <w:lang w:eastAsia="ja-JP"/>
              </w:rPr>
              <w:t>0.75</w:t>
            </w:r>
          </w:p>
        </w:tc>
        <w:tc>
          <w:tcPr>
            <w:tcW w:w="708" w:type="dxa"/>
            <w:tcBorders>
              <w:top w:val="nil"/>
              <w:left w:val="nil"/>
              <w:bottom w:val="dashSmallGap" w:sz="4" w:space="0" w:color="auto"/>
              <w:right w:val="nil"/>
            </w:tcBorders>
            <w:shd w:val="clear" w:color="auto" w:fill="auto"/>
            <w:tcMar>
              <w:left w:w="28" w:type="dxa"/>
              <w:right w:w="28" w:type="dxa"/>
            </w:tcMar>
            <w:vAlign w:val="center"/>
            <w:hideMark/>
          </w:tcPr>
          <w:p w14:paraId="6B0E9C5F" w14:textId="77777777" w:rsidR="00E72CA9" w:rsidRDefault="00D516E3">
            <w:pPr>
              <w:rPr>
                <w:rFonts w:eastAsia="Times New Roman"/>
                <w:color w:val="000000"/>
                <w:sz w:val="22"/>
                <w:lang w:eastAsia="ja-JP"/>
              </w:rPr>
            </w:pPr>
            <w:r>
              <w:rPr>
                <w:rFonts w:eastAsia="Times New Roman"/>
                <w:color w:val="000000"/>
                <w:sz w:val="22"/>
                <w:lang w:eastAsia="ja-JP"/>
              </w:rPr>
              <w:t>0.78</w:t>
            </w:r>
          </w:p>
        </w:tc>
        <w:tc>
          <w:tcPr>
            <w:tcW w:w="1205" w:type="dxa"/>
            <w:tcBorders>
              <w:top w:val="nil"/>
              <w:left w:val="nil"/>
              <w:bottom w:val="dashSmallGap" w:sz="4" w:space="0" w:color="auto"/>
              <w:right w:val="nil"/>
            </w:tcBorders>
            <w:shd w:val="clear" w:color="auto" w:fill="auto"/>
            <w:tcMar>
              <w:left w:w="28" w:type="dxa"/>
              <w:right w:w="28" w:type="dxa"/>
            </w:tcMar>
            <w:vAlign w:val="center"/>
            <w:hideMark/>
          </w:tcPr>
          <w:p w14:paraId="2A91EBDD" w14:textId="77777777" w:rsidR="00E72CA9" w:rsidRDefault="00D516E3">
            <w:pPr>
              <w:rPr>
                <w:rFonts w:eastAsia="Times New Roman"/>
                <w:color w:val="000000"/>
                <w:sz w:val="22"/>
                <w:lang w:eastAsia="ja-JP"/>
              </w:rPr>
            </w:pPr>
            <w:r>
              <w:rPr>
                <w:rFonts w:eastAsia="Times New Roman"/>
                <w:color w:val="000000"/>
                <w:sz w:val="22"/>
                <w:lang w:eastAsia="ja-JP"/>
              </w:rPr>
              <w:t>0.78</w:t>
            </w:r>
          </w:p>
        </w:tc>
        <w:tc>
          <w:tcPr>
            <w:tcW w:w="779" w:type="dxa"/>
            <w:tcBorders>
              <w:top w:val="nil"/>
              <w:left w:val="nil"/>
              <w:bottom w:val="dashSmallGap" w:sz="4" w:space="0" w:color="auto"/>
              <w:right w:val="nil"/>
            </w:tcBorders>
            <w:shd w:val="clear" w:color="auto" w:fill="auto"/>
            <w:tcMar>
              <w:left w:w="28" w:type="dxa"/>
              <w:right w:w="28" w:type="dxa"/>
            </w:tcMar>
            <w:vAlign w:val="center"/>
            <w:hideMark/>
          </w:tcPr>
          <w:p w14:paraId="3B1240CC" w14:textId="77777777" w:rsidR="00E72CA9" w:rsidRDefault="00D516E3">
            <w:pPr>
              <w:rPr>
                <w:rFonts w:eastAsia="Times New Roman"/>
                <w:color w:val="000000"/>
                <w:sz w:val="22"/>
                <w:lang w:eastAsia="ja-JP"/>
              </w:rPr>
            </w:pPr>
            <w:r>
              <w:rPr>
                <w:rFonts w:eastAsia="Times New Roman"/>
                <w:color w:val="000000"/>
                <w:sz w:val="22"/>
                <w:lang w:eastAsia="ja-JP"/>
              </w:rPr>
              <w:t>0.76</w:t>
            </w:r>
          </w:p>
        </w:tc>
        <w:tc>
          <w:tcPr>
            <w:tcW w:w="1191" w:type="dxa"/>
            <w:tcBorders>
              <w:top w:val="nil"/>
              <w:left w:val="nil"/>
              <w:bottom w:val="dashSmallGap" w:sz="4" w:space="0" w:color="auto"/>
              <w:right w:val="nil"/>
            </w:tcBorders>
            <w:shd w:val="clear" w:color="auto" w:fill="auto"/>
            <w:tcMar>
              <w:left w:w="28" w:type="dxa"/>
              <w:right w:w="28" w:type="dxa"/>
            </w:tcMar>
            <w:vAlign w:val="center"/>
            <w:hideMark/>
          </w:tcPr>
          <w:p w14:paraId="464C9ED6" w14:textId="77777777" w:rsidR="00E72CA9" w:rsidRDefault="00D516E3">
            <w:pPr>
              <w:rPr>
                <w:rFonts w:eastAsia="Times New Roman"/>
                <w:color w:val="000000"/>
                <w:sz w:val="22"/>
                <w:lang w:eastAsia="ja-JP"/>
              </w:rPr>
            </w:pPr>
            <w:r>
              <w:rPr>
                <w:rFonts w:eastAsia="Times New Roman"/>
                <w:color w:val="000000"/>
                <w:sz w:val="22"/>
                <w:lang w:eastAsia="ja-JP"/>
              </w:rPr>
              <w:t>0.76</w:t>
            </w:r>
          </w:p>
        </w:tc>
      </w:tr>
      <w:tr w:rsidR="00E72CA9" w14:paraId="74133019" w14:textId="77777777">
        <w:tc>
          <w:tcPr>
            <w:tcW w:w="1420" w:type="dxa"/>
            <w:tcBorders>
              <w:top w:val="dashSmallGap" w:sz="4" w:space="0" w:color="auto"/>
              <w:left w:val="nil"/>
              <w:bottom w:val="dashSmallGap" w:sz="4" w:space="0" w:color="auto"/>
              <w:right w:val="nil"/>
            </w:tcBorders>
            <w:shd w:val="clear" w:color="auto" w:fill="auto"/>
            <w:tcMar>
              <w:left w:w="28" w:type="dxa"/>
              <w:right w:w="28" w:type="dxa"/>
            </w:tcMar>
            <w:vAlign w:val="bottom"/>
            <w:hideMark/>
          </w:tcPr>
          <w:p w14:paraId="4A2492CD" w14:textId="77777777" w:rsidR="00E72CA9" w:rsidRDefault="00D516E3">
            <w:pPr>
              <w:rPr>
                <w:rFonts w:eastAsia="Times New Roman"/>
                <w:color w:val="000000"/>
                <w:sz w:val="22"/>
                <w:lang w:eastAsia="ja-JP"/>
              </w:rPr>
            </w:pPr>
            <w:r>
              <w:rPr>
                <w:rFonts w:eastAsia="Times New Roman"/>
                <w:color w:val="000000"/>
                <w:sz w:val="22"/>
                <w:lang w:eastAsia="ja-JP"/>
              </w:rPr>
              <w:t xml:space="preserve">70 kV, </w:t>
            </w:r>
            <w:r>
              <w:rPr>
                <w:rFonts w:eastAsia="Times New Roman"/>
                <w:color w:val="000000"/>
                <w:sz w:val="22"/>
                <w:lang w:eastAsia="ja-JP"/>
              </w:rPr>
              <w:br/>
              <w:t>3mm Al</w:t>
            </w:r>
            <w:r>
              <w:rPr>
                <w:rFonts w:eastAsia="Times New Roman"/>
                <w:color w:val="000000"/>
                <w:sz w:val="22"/>
                <w:lang w:eastAsia="ja-JP"/>
              </w:rPr>
              <w:br/>
              <w:t>+ 0.2 mm Cu</w:t>
            </w:r>
          </w:p>
        </w:tc>
        <w:tc>
          <w:tcPr>
            <w:tcW w:w="707" w:type="dxa"/>
            <w:tcBorders>
              <w:top w:val="dashSmallGap" w:sz="4" w:space="0" w:color="auto"/>
              <w:left w:val="nil"/>
              <w:bottom w:val="dashSmallGap" w:sz="4" w:space="0" w:color="auto"/>
              <w:right w:val="nil"/>
            </w:tcBorders>
            <w:shd w:val="clear" w:color="auto" w:fill="auto"/>
            <w:tcMar>
              <w:left w:w="28" w:type="dxa"/>
              <w:right w:w="28" w:type="dxa"/>
            </w:tcMar>
            <w:vAlign w:val="center"/>
            <w:hideMark/>
          </w:tcPr>
          <w:p w14:paraId="78209BDC" w14:textId="77777777" w:rsidR="00E72CA9" w:rsidRDefault="00D516E3">
            <w:pPr>
              <w:rPr>
                <w:rFonts w:eastAsia="Times New Roman"/>
                <w:color w:val="000000"/>
                <w:sz w:val="22"/>
                <w:lang w:eastAsia="ja-JP"/>
              </w:rPr>
            </w:pPr>
            <w:r>
              <w:rPr>
                <w:rFonts w:eastAsia="Times New Roman"/>
                <w:caps/>
                <w:color w:val="000000"/>
                <w:sz w:val="22"/>
                <w:lang w:eastAsia="ja-JP"/>
              </w:rPr>
              <w:t>cbd</w:t>
            </w:r>
          </w:p>
        </w:tc>
        <w:tc>
          <w:tcPr>
            <w:tcW w:w="1206" w:type="dxa"/>
            <w:tcBorders>
              <w:top w:val="dashSmallGap" w:sz="4" w:space="0" w:color="auto"/>
              <w:left w:val="nil"/>
              <w:bottom w:val="dashSmallGap" w:sz="4" w:space="0" w:color="auto"/>
              <w:right w:val="nil"/>
            </w:tcBorders>
            <w:shd w:val="clear" w:color="auto" w:fill="auto"/>
            <w:tcMar>
              <w:left w:w="28" w:type="dxa"/>
              <w:right w:w="28" w:type="dxa"/>
            </w:tcMar>
            <w:vAlign w:val="center"/>
            <w:hideMark/>
          </w:tcPr>
          <w:p w14:paraId="16083B83" w14:textId="77777777" w:rsidR="00E72CA9" w:rsidRDefault="00D516E3">
            <w:pPr>
              <w:rPr>
                <w:rFonts w:eastAsia="Times New Roman"/>
                <w:color w:val="000000"/>
                <w:sz w:val="22"/>
                <w:lang w:eastAsia="ja-JP"/>
              </w:rPr>
            </w:pPr>
            <w:r>
              <w:rPr>
                <w:rFonts w:eastAsia="Times New Roman"/>
                <w:color w:val="000000"/>
                <w:sz w:val="22"/>
                <w:lang w:eastAsia="ja-JP"/>
              </w:rPr>
              <w:t>1.83</w:t>
            </w:r>
          </w:p>
        </w:tc>
        <w:tc>
          <w:tcPr>
            <w:tcW w:w="636" w:type="dxa"/>
            <w:tcBorders>
              <w:top w:val="dashSmallGap" w:sz="4" w:space="0" w:color="auto"/>
              <w:left w:val="nil"/>
              <w:bottom w:val="dashSmallGap" w:sz="4" w:space="0" w:color="auto"/>
              <w:right w:val="nil"/>
            </w:tcBorders>
            <w:shd w:val="clear" w:color="auto" w:fill="auto"/>
            <w:tcMar>
              <w:left w:w="28" w:type="dxa"/>
              <w:right w:w="28" w:type="dxa"/>
            </w:tcMar>
            <w:vAlign w:val="center"/>
            <w:hideMark/>
          </w:tcPr>
          <w:p w14:paraId="54DFDC57" w14:textId="77777777" w:rsidR="00E72CA9" w:rsidRDefault="00D516E3">
            <w:pPr>
              <w:rPr>
                <w:rFonts w:eastAsia="Times New Roman"/>
                <w:color w:val="000000"/>
                <w:sz w:val="22"/>
                <w:lang w:eastAsia="ja-JP"/>
              </w:rPr>
            </w:pPr>
            <w:r>
              <w:rPr>
                <w:rFonts w:eastAsia="Times New Roman"/>
                <w:caps/>
                <w:color w:val="000000"/>
                <w:sz w:val="22"/>
                <w:lang w:eastAsia="ja-JP"/>
              </w:rPr>
              <w:t>cbd</w:t>
            </w:r>
          </w:p>
        </w:tc>
        <w:tc>
          <w:tcPr>
            <w:tcW w:w="1191" w:type="dxa"/>
            <w:tcBorders>
              <w:top w:val="dashSmallGap" w:sz="4" w:space="0" w:color="auto"/>
              <w:left w:val="nil"/>
              <w:bottom w:val="dashSmallGap" w:sz="4" w:space="0" w:color="auto"/>
              <w:right w:val="nil"/>
            </w:tcBorders>
            <w:shd w:val="clear" w:color="auto" w:fill="auto"/>
            <w:tcMar>
              <w:left w:w="28" w:type="dxa"/>
              <w:right w:w="28" w:type="dxa"/>
            </w:tcMar>
            <w:vAlign w:val="center"/>
            <w:hideMark/>
          </w:tcPr>
          <w:p w14:paraId="2B14E7F3" w14:textId="77777777" w:rsidR="00E72CA9" w:rsidRDefault="00D516E3">
            <w:pPr>
              <w:rPr>
                <w:rFonts w:eastAsia="Times New Roman"/>
                <w:color w:val="000000"/>
                <w:sz w:val="22"/>
                <w:lang w:eastAsia="ja-JP"/>
              </w:rPr>
            </w:pPr>
            <w:r>
              <w:rPr>
                <w:rFonts w:eastAsia="Times New Roman"/>
                <w:color w:val="000000"/>
                <w:sz w:val="22"/>
                <w:lang w:eastAsia="ja-JP"/>
              </w:rPr>
              <w:t>0.85</w:t>
            </w:r>
          </w:p>
        </w:tc>
        <w:tc>
          <w:tcPr>
            <w:tcW w:w="708" w:type="dxa"/>
            <w:tcBorders>
              <w:top w:val="dashSmallGap" w:sz="4" w:space="0" w:color="auto"/>
              <w:left w:val="nil"/>
              <w:bottom w:val="dashSmallGap" w:sz="4" w:space="0" w:color="auto"/>
              <w:right w:val="nil"/>
            </w:tcBorders>
            <w:shd w:val="clear" w:color="auto" w:fill="auto"/>
            <w:tcMar>
              <w:left w:w="28" w:type="dxa"/>
              <w:right w:w="28" w:type="dxa"/>
            </w:tcMar>
            <w:vAlign w:val="center"/>
            <w:hideMark/>
          </w:tcPr>
          <w:p w14:paraId="5C130FCC" w14:textId="77777777" w:rsidR="00E72CA9" w:rsidRDefault="00D516E3">
            <w:pPr>
              <w:rPr>
                <w:rFonts w:eastAsia="Times New Roman"/>
                <w:color w:val="000000"/>
                <w:sz w:val="22"/>
                <w:lang w:eastAsia="ja-JP"/>
              </w:rPr>
            </w:pPr>
            <w:r>
              <w:rPr>
                <w:rFonts w:eastAsia="Times New Roman"/>
                <w:caps/>
                <w:color w:val="000000"/>
                <w:sz w:val="22"/>
                <w:lang w:eastAsia="ja-JP"/>
              </w:rPr>
              <w:t>cbd</w:t>
            </w:r>
          </w:p>
        </w:tc>
        <w:tc>
          <w:tcPr>
            <w:tcW w:w="1205" w:type="dxa"/>
            <w:tcBorders>
              <w:top w:val="dashSmallGap" w:sz="4" w:space="0" w:color="auto"/>
              <w:left w:val="nil"/>
              <w:bottom w:val="dashSmallGap" w:sz="4" w:space="0" w:color="auto"/>
              <w:right w:val="nil"/>
            </w:tcBorders>
            <w:shd w:val="clear" w:color="auto" w:fill="auto"/>
            <w:tcMar>
              <w:left w:w="28" w:type="dxa"/>
              <w:right w:w="28" w:type="dxa"/>
            </w:tcMar>
            <w:vAlign w:val="center"/>
            <w:hideMark/>
          </w:tcPr>
          <w:p w14:paraId="6251D9A0" w14:textId="77777777" w:rsidR="00E72CA9" w:rsidRDefault="00D516E3">
            <w:pPr>
              <w:rPr>
                <w:rFonts w:eastAsia="Times New Roman"/>
                <w:color w:val="000000"/>
                <w:sz w:val="22"/>
                <w:lang w:eastAsia="ja-JP"/>
              </w:rPr>
            </w:pPr>
            <w:r>
              <w:rPr>
                <w:rFonts w:eastAsia="Times New Roman"/>
                <w:color w:val="000000"/>
                <w:sz w:val="22"/>
                <w:lang w:eastAsia="ja-JP"/>
              </w:rPr>
              <w:t>0.87</w:t>
            </w:r>
          </w:p>
        </w:tc>
        <w:tc>
          <w:tcPr>
            <w:tcW w:w="779" w:type="dxa"/>
            <w:tcBorders>
              <w:top w:val="dashSmallGap" w:sz="4" w:space="0" w:color="auto"/>
              <w:left w:val="nil"/>
              <w:bottom w:val="dashSmallGap" w:sz="4" w:space="0" w:color="auto"/>
              <w:right w:val="nil"/>
            </w:tcBorders>
            <w:shd w:val="clear" w:color="auto" w:fill="auto"/>
            <w:tcMar>
              <w:left w:w="28" w:type="dxa"/>
              <w:right w:w="28" w:type="dxa"/>
            </w:tcMar>
            <w:vAlign w:val="center"/>
            <w:hideMark/>
          </w:tcPr>
          <w:p w14:paraId="7916CB21" w14:textId="77777777" w:rsidR="00E72CA9" w:rsidRDefault="00D516E3">
            <w:pPr>
              <w:rPr>
                <w:rFonts w:eastAsia="Times New Roman"/>
                <w:color w:val="000000"/>
                <w:sz w:val="22"/>
                <w:lang w:eastAsia="ja-JP"/>
              </w:rPr>
            </w:pPr>
            <w:r>
              <w:rPr>
                <w:rFonts w:eastAsia="Times New Roman"/>
                <w:caps/>
                <w:color w:val="000000"/>
                <w:sz w:val="22"/>
                <w:lang w:eastAsia="ja-JP"/>
              </w:rPr>
              <w:t>cbd</w:t>
            </w:r>
          </w:p>
        </w:tc>
        <w:tc>
          <w:tcPr>
            <w:tcW w:w="1191" w:type="dxa"/>
            <w:tcBorders>
              <w:top w:val="dashSmallGap" w:sz="4" w:space="0" w:color="auto"/>
              <w:left w:val="nil"/>
              <w:bottom w:val="dashSmallGap" w:sz="4" w:space="0" w:color="auto"/>
              <w:right w:val="nil"/>
            </w:tcBorders>
            <w:shd w:val="clear" w:color="auto" w:fill="auto"/>
            <w:tcMar>
              <w:left w:w="28" w:type="dxa"/>
              <w:right w:w="28" w:type="dxa"/>
            </w:tcMar>
            <w:vAlign w:val="center"/>
            <w:hideMark/>
          </w:tcPr>
          <w:p w14:paraId="7A7BA26D" w14:textId="77777777" w:rsidR="00E72CA9" w:rsidRDefault="00D516E3">
            <w:pPr>
              <w:rPr>
                <w:rFonts w:eastAsia="Times New Roman"/>
                <w:color w:val="000000"/>
                <w:sz w:val="22"/>
                <w:lang w:eastAsia="ja-JP"/>
              </w:rPr>
            </w:pPr>
            <w:r>
              <w:rPr>
                <w:rFonts w:eastAsia="Times New Roman"/>
                <w:color w:val="000000"/>
                <w:sz w:val="22"/>
                <w:lang w:eastAsia="ja-JP"/>
              </w:rPr>
              <w:t>0.86</w:t>
            </w:r>
          </w:p>
        </w:tc>
      </w:tr>
      <w:tr w:rsidR="00E72CA9" w14:paraId="74A27316" w14:textId="77777777">
        <w:trPr>
          <w:trHeight w:val="663"/>
        </w:trPr>
        <w:tc>
          <w:tcPr>
            <w:tcW w:w="1420" w:type="dxa"/>
            <w:tcBorders>
              <w:top w:val="dashSmallGap" w:sz="4" w:space="0" w:color="auto"/>
              <w:left w:val="nil"/>
              <w:bottom w:val="single" w:sz="4" w:space="0" w:color="auto"/>
              <w:right w:val="nil"/>
            </w:tcBorders>
            <w:shd w:val="clear" w:color="auto" w:fill="auto"/>
            <w:tcMar>
              <w:left w:w="28" w:type="dxa"/>
              <w:right w:w="28" w:type="dxa"/>
            </w:tcMar>
            <w:vAlign w:val="bottom"/>
            <w:hideMark/>
          </w:tcPr>
          <w:p w14:paraId="1F291CB4" w14:textId="77777777" w:rsidR="00E72CA9" w:rsidRDefault="00D516E3">
            <w:pPr>
              <w:rPr>
                <w:rFonts w:eastAsia="Times New Roman"/>
                <w:color w:val="000000"/>
                <w:sz w:val="22"/>
                <w:lang w:eastAsia="ja-JP"/>
              </w:rPr>
            </w:pPr>
            <w:r>
              <w:rPr>
                <w:rFonts w:eastAsia="Times New Roman"/>
                <w:color w:val="000000"/>
                <w:sz w:val="22"/>
                <w:lang w:eastAsia="ja-JP"/>
              </w:rPr>
              <w:t xml:space="preserve">65 kV, </w:t>
            </w:r>
            <w:r>
              <w:rPr>
                <w:rFonts w:eastAsia="Times New Roman"/>
                <w:color w:val="000000"/>
                <w:sz w:val="22"/>
                <w:lang w:eastAsia="ja-JP"/>
              </w:rPr>
              <w:br/>
              <w:t xml:space="preserve">3mm Al </w:t>
            </w:r>
            <w:r>
              <w:rPr>
                <w:rFonts w:eastAsia="Times New Roman"/>
                <w:color w:val="000000"/>
                <w:sz w:val="22"/>
                <w:lang w:eastAsia="ja-JP"/>
              </w:rPr>
              <w:br/>
              <w:t>+0.1 mm Cu</w:t>
            </w:r>
          </w:p>
        </w:tc>
        <w:tc>
          <w:tcPr>
            <w:tcW w:w="707" w:type="dxa"/>
            <w:tcBorders>
              <w:top w:val="dashSmallGap" w:sz="4" w:space="0" w:color="auto"/>
              <w:left w:val="nil"/>
              <w:bottom w:val="single" w:sz="4" w:space="0" w:color="auto"/>
              <w:right w:val="nil"/>
            </w:tcBorders>
            <w:shd w:val="clear" w:color="auto" w:fill="auto"/>
            <w:tcMar>
              <w:left w:w="28" w:type="dxa"/>
              <w:right w:w="28" w:type="dxa"/>
            </w:tcMar>
            <w:vAlign w:val="center"/>
            <w:hideMark/>
          </w:tcPr>
          <w:p w14:paraId="073EF558" w14:textId="77777777" w:rsidR="00E72CA9" w:rsidRDefault="00D516E3">
            <w:pPr>
              <w:rPr>
                <w:rFonts w:eastAsia="Times New Roman"/>
                <w:color w:val="000000"/>
                <w:sz w:val="22"/>
                <w:lang w:eastAsia="ja-JP"/>
              </w:rPr>
            </w:pPr>
            <w:r>
              <w:rPr>
                <w:rFonts w:eastAsia="Times New Roman"/>
                <w:caps/>
                <w:color w:val="000000"/>
                <w:sz w:val="22"/>
                <w:lang w:eastAsia="ja-JP"/>
              </w:rPr>
              <w:t>cbd</w:t>
            </w:r>
          </w:p>
        </w:tc>
        <w:tc>
          <w:tcPr>
            <w:tcW w:w="1206" w:type="dxa"/>
            <w:tcBorders>
              <w:top w:val="dashSmallGap" w:sz="4" w:space="0" w:color="auto"/>
              <w:left w:val="nil"/>
              <w:bottom w:val="single" w:sz="4" w:space="0" w:color="auto"/>
              <w:right w:val="nil"/>
            </w:tcBorders>
            <w:shd w:val="clear" w:color="auto" w:fill="auto"/>
            <w:tcMar>
              <w:left w:w="28" w:type="dxa"/>
              <w:right w:w="28" w:type="dxa"/>
            </w:tcMar>
            <w:vAlign w:val="center"/>
            <w:hideMark/>
          </w:tcPr>
          <w:p w14:paraId="1556DD2E" w14:textId="77777777" w:rsidR="00E72CA9" w:rsidRDefault="00D516E3">
            <w:pPr>
              <w:rPr>
                <w:rFonts w:eastAsia="Times New Roman"/>
                <w:color w:val="000000"/>
                <w:sz w:val="22"/>
                <w:lang w:eastAsia="ja-JP"/>
              </w:rPr>
            </w:pPr>
            <w:r>
              <w:rPr>
                <w:rFonts w:eastAsia="Times New Roman"/>
                <w:color w:val="000000"/>
                <w:sz w:val="22"/>
                <w:lang w:eastAsia="ja-JP"/>
              </w:rPr>
              <w:t>1.6</w:t>
            </w:r>
          </w:p>
        </w:tc>
        <w:tc>
          <w:tcPr>
            <w:tcW w:w="636" w:type="dxa"/>
            <w:tcBorders>
              <w:top w:val="dashSmallGap" w:sz="4" w:space="0" w:color="auto"/>
              <w:left w:val="nil"/>
              <w:bottom w:val="single" w:sz="4" w:space="0" w:color="auto"/>
              <w:right w:val="nil"/>
            </w:tcBorders>
            <w:shd w:val="clear" w:color="auto" w:fill="auto"/>
            <w:tcMar>
              <w:left w:w="28" w:type="dxa"/>
              <w:right w:w="28" w:type="dxa"/>
            </w:tcMar>
            <w:vAlign w:val="center"/>
            <w:hideMark/>
          </w:tcPr>
          <w:p w14:paraId="406FE7A1" w14:textId="77777777" w:rsidR="00E72CA9" w:rsidRDefault="00D516E3">
            <w:pPr>
              <w:rPr>
                <w:rFonts w:eastAsia="Times New Roman"/>
                <w:color w:val="000000"/>
                <w:sz w:val="22"/>
                <w:lang w:eastAsia="ja-JP"/>
              </w:rPr>
            </w:pPr>
            <w:r>
              <w:rPr>
                <w:rFonts w:eastAsia="Times New Roman"/>
                <w:caps/>
                <w:color w:val="000000"/>
                <w:sz w:val="22"/>
                <w:lang w:eastAsia="ja-JP"/>
              </w:rPr>
              <w:t>cbd</w:t>
            </w:r>
          </w:p>
        </w:tc>
        <w:tc>
          <w:tcPr>
            <w:tcW w:w="1191" w:type="dxa"/>
            <w:tcBorders>
              <w:top w:val="dashSmallGap" w:sz="4" w:space="0" w:color="auto"/>
              <w:left w:val="nil"/>
              <w:bottom w:val="single" w:sz="4" w:space="0" w:color="auto"/>
              <w:right w:val="nil"/>
            </w:tcBorders>
            <w:shd w:val="clear" w:color="auto" w:fill="auto"/>
            <w:tcMar>
              <w:left w:w="28" w:type="dxa"/>
              <w:right w:w="28" w:type="dxa"/>
            </w:tcMar>
            <w:vAlign w:val="center"/>
            <w:hideMark/>
          </w:tcPr>
          <w:p w14:paraId="2015F4FD" w14:textId="77777777" w:rsidR="00E72CA9" w:rsidRDefault="00D516E3">
            <w:pPr>
              <w:rPr>
                <w:rFonts w:eastAsia="Times New Roman"/>
                <w:color w:val="000000"/>
                <w:sz w:val="22"/>
                <w:lang w:eastAsia="ja-JP"/>
              </w:rPr>
            </w:pPr>
            <w:r>
              <w:rPr>
                <w:rFonts w:eastAsia="Times New Roman"/>
                <w:color w:val="000000"/>
                <w:sz w:val="22"/>
                <w:lang w:eastAsia="ja-JP"/>
              </w:rPr>
              <w:t>0.72</w:t>
            </w:r>
          </w:p>
        </w:tc>
        <w:tc>
          <w:tcPr>
            <w:tcW w:w="708" w:type="dxa"/>
            <w:tcBorders>
              <w:top w:val="dashSmallGap" w:sz="4" w:space="0" w:color="auto"/>
              <w:left w:val="nil"/>
              <w:bottom w:val="single" w:sz="4" w:space="0" w:color="auto"/>
              <w:right w:val="nil"/>
            </w:tcBorders>
            <w:shd w:val="clear" w:color="auto" w:fill="auto"/>
            <w:tcMar>
              <w:left w:w="28" w:type="dxa"/>
              <w:right w:w="28" w:type="dxa"/>
            </w:tcMar>
            <w:vAlign w:val="center"/>
            <w:hideMark/>
          </w:tcPr>
          <w:p w14:paraId="05645E2A" w14:textId="77777777" w:rsidR="00E72CA9" w:rsidRDefault="00D516E3">
            <w:pPr>
              <w:rPr>
                <w:rFonts w:eastAsia="Times New Roman"/>
                <w:color w:val="000000"/>
                <w:sz w:val="22"/>
                <w:lang w:eastAsia="ja-JP"/>
              </w:rPr>
            </w:pPr>
            <w:r>
              <w:rPr>
                <w:rFonts w:eastAsia="Times New Roman"/>
                <w:caps/>
                <w:color w:val="000000"/>
                <w:sz w:val="22"/>
                <w:lang w:eastAsia="ja-JP"/>
              </w:rPr>
              <w:t>cbd</w:t>
            </w:r>
          </w:p>
        </w:tc>
        <w:tc>
          <w:tcPr>
            <w:tcW w:w="1205" w:type="dxa"/>
            <w:tcBorders>
              <w:top w:val="dashSmallGap" w:sz="4" w:space="0" w:color="auto"/>
              <w:left w:val="nil"/>
              <w:bottom w:val="single" w:sz="4" w:space="0" w:color="auto"/>
              <w:right w:val="nil"/>
            </w:tcBorders>
            <w:shd w:val="clear" w:color="auto" w:fill="auto"/>
            <w:tcMar>
              <w:left w:w="28" w:type="dxa"/>
              <w:right w:w="28" w:type="dxa"/>
            </w:tcMar>
            <w:vAlign w:val="center"/>
            <w:hideMark/>
          </w:tcPr>
          <w:p w14:paraId="767D12F9" w14:textId="77777777" w:rsidR="00E72CA9" w:rsidRDefault="00D516E3">
            <w:pPr>
              <w:rPr>
                <w:rFonts w:eastAsia="Times New Roman"/>
                <w:color w:val="000000"/>
                <w:sz w:val="22"/>
                <w:lang w:eastAsia="ja-JP"/>
              </w:rPr>
            </w:pPr>
            <w:r>
              <w:rPr>
                <w:rFonts w:eastAsia="Times New Roman"/>
                <w:color w:val="000000"/>
                <w:sz w:val="22"/>
                <w:lang w:eastAsia="ja-JP"/>
              </w:rPr>
              <w:t>0.75</w:t>
            </w:r>
          </w:p>
        </w:tc>
        <w:tc>
          <w:tcPr>
            <w:tcW w:w="779" w:type="dxa"/>
            <w:tcBorders>
              <w:top w:val="dashSmallGap" w:sz="4" w:space="0" w:color="auto"/>
              <w:left w:val="nil"/>
              <w:bottom w:val="single" w:sz="4" w:space="0" w:color="auto"/>
              <w:right w:val="nil"/>
            </w:tcBorders>
            <w:shd w:val="clear" w:color="auto" w:fill="auto"/>
            <w:tcMar>
              <w:left w:w="28" w:type="dxa"/>
              <w:right w:w="28" w:type="dxa"/>
            </w:tcMar>
            <w:vAlign w:val="center"/>
            <w:hideMark/>
          </w:tcPr>
          <w:p w14:paraId="374DD09F" w14:textId="77777777" w:rsidR="00E72CA9" w:rsidRDefault="00D516E3">
            <w:pPr>
              <w:rPr>
                <w:rFonts w:eastAsia="Times New Roman"/>
                <w:color w:val="000000"/>
                <w:sz w:val="22"/>
                <w:lang w:eastAsia="ja-JP"/>
              </w:rPr>
            </w:pPr>
            <w:r>
              <w:rPr>
                <w:rFonts w:eastAsia="Times New Roman"/>
                <w:caps/>
                <w:color w:val="000000"/>
                <w:sz w:val="22"/>
                <w:lang w:eastAsia="ja-JP"/>
              </w:rPr>
              <w:t>cbd</w:t>
            </w:r>
          </w:p>
        </w:tc>
        <w:tc>
          <w:tcPr>
            <w:tcW w:w="1191" w:type="dxa"/>
            <w:tcBorders>
              <w:top w:val="dashSmallGap" w:sz="4" w:space="0" w:color="auto"/>
              <w:left w:val="nil"/>
              <w:bottom w:val="single" w:sz="4" w:space="0" w:color="auto"/>
              <w:right w:val="nil"/>
            </w:tcBorders>
            <w:shd w:val="clear" w:color="auto" w:fill="auto"/>
            <w:tcMar>
              <w:left w:w="28" w:type="dxa"/>
              <w:right w:w="28" w:type="dxa"/>
            </w:tcMar>
            <w:vAlign w:val="center"/>
            <w:hideMark/>
          </w:tcPr>
          <w:p w14:paraId="3F492879" w14:textId="77777777" w:rsidR="00E72CA9" w:rsidRDefault="00D516E3">
            <w:pPr>
              <w:rPr>
                <w:rFonts w:eastAsia="Times New Roman"/>
                <w:color w:val="000000"/>
                <w:sz w:val="22"/>
                <w:lang w:eastAsia="ja-JP"/>
              </w:rPr>
            </w:pPr>
            <w:r>
              <w:rPr>
                <w:rFonts w:eastAsia="Times New Roman"/>
                <w:color w:val="000000"/>
                <w:sz w:val="22"/>
                <w:lang w:eastAsia="ja-JP"/>
              </w:rPr>
              <w:t>0.73</w:t>
            </w:r>
          </w:p>
        </w:tc>
      </w:tr>
    </w:tbl>
    <w:p w14:paraId="1725F7A0" w14:textId="77777777" w:rsidR="00E72CA9" w:rsidRDefault="00D516E3">
      <w:pPr>
        <w:pStyle w:val="ICRPnumberedparagraph"/>
        <w:numPr>
          <w:ilvl w:val="0"/>
          <w:numId w:val="0"/>
        </w:numPr>
        <w:rPr>
          <w:sz w:val="20"/>
          <w:szCs w:val="20"/>
        </w:rPr>
      </w:pPr>
      <w:r>
        <w:rPr>
          <w:caps/>
          <w:sz w:val="20"/>
          <w:szCs w:val="20"/>
        </w:rPr>
        <w:t>cbd</w:t>
      </w:r>
      <w:r>
        <w:rPr>
          <w:sz w:val="20"/>
          <w:szCs w:val="20"/>
        </w:rPr>
        <w:t>, cannot be determined.</w:t>
      </w:r>
    </w:p>
    <w:p w14:paraId="26996681" w14:textId="77777777" w:rsidR="00E72CA9" w:rsidRDefault="00E72CA9">
      <w:pPr>
        <w:pStyle w:val="ICRPnumberedparagraph"/>
        <w:numPr>
          <w:ilvl w:val="0"/>
          <w:numId w:val="0"/>
        </w:numPr>
      </w:pPr>
    </w:p>
    <w:p w14:paraId="65FE313C" w14:textId="77777777" w:rsidR="00E72CA9" w:rsidRDefault="00E72CA9">
      <w:pPr>
        <w:pStyle w:val="ICRPnumberedparagraph"/>
        <w:numPr>
          <w:ilvl w:val="0"/>
          <w:numId w:val="0"/>
        </w:numPr>
      </w:pPr>
    </w:p>
    <w:p w14:paraId="63B3CAD9" w14:textId="77777777" w:rsidR="00E72CA9" w:rsidRDefault="00E72CA9">
      <w:pPr>
        <w:pStyle w:val="ICRPnumberedparagraph"/>
        <w:numPr>
          <w:ilvl w:val="0"/>
          <w:numId w:val="0"/>
        </w:numPr>
      </w:pPr>
    </w:p>
    <w:p w14:paraId="0379D0EF" w14:textId="77777777" w:rsidR="00E72CA9" w:rsidRDefault="00D516E3">
      <w:pPr>
        <w:pStyle w:val="3"/>
        <w:tabs>
          <w:tab w:val="clear" w:pos="851"/>
          <w:tab w:val="left" w:pos="709"/>
        </w:tabs>
      </w:pPr>
      <w:bookmarkStart w:id="134" w:name="_Toc158293342"/>
      <w:r>
        <w:lastRenderedPageBreak/>
        <w:t xml:space="preserve">An optimisation </w:t>
      </w:r>
      <w:proofErr w:type="gramStart"/>
      <w:r>
        <w:t>example</w:t>
      </w:r>
      <w:bookmarkEnd w:id="134"/>
      <w:proofErr w:type="gramEnd"/>
    </w:p>
    <w:p w14:paraId="73511C17" w14:textId="77777777" w:rsidR="00E72CA9" w:rsidRDefault="00D516E3">
      <w:pPr>
        <w:pStyle w:val="ICRPnumberedparagraph"/>
        <w:tabs>
          <w:tab w:val="clear" w:pos="2062"/>
          <w:tab w:val="num" w:pos="851"/>
        </w:tabs>
        <w:ind w:left="0"/>
      </w:pPr>
      <w:r>
        <w:t xml:space="preserve">Use of additional copper filtration has the advantage of lowering the dose if the automatic exposure control (AEC) device is properly set-up and is often recommended for units used for paediatric examinations. Due to its larger photoelectric cross-section, copper absorbs more low energy photons in the 20–50 keV range than aluminium so for example, inclusion of a 0.2 mm thick copper filter in radiographic units at tube potentials of 70 to 80 kV can reduce KAP by 50% for the same exit dose from the patient. The corresponding reduction in effective dose can be up to 40% </w:t>
      </w:r>
      <w:r>
        <w:fldChar w:fldCharType="begin">
          <w:fldData xml:space="preserve">PEVuZE5vdGU+PENpdGU+PEF1dGhvcj5NYXJ0aW48L0F1dGhvcj48WWVhcj4xOTk5PC9ZZWFyPjxS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</w:fldData>
        </w:fldChar>
      </w:r>
      <w:r>
        <w:instrText xml:space="preserve"> ADDIN EN.CITE </w:instrText>
      </w:r>
      <w:r>
        <w:fldChar w:fldCharType="begin">
          <w:fldData xml:space="preserve">PEVuZE5vdGU+PENpdGU+PEF1dGhvcj5NYXJ0aW48L0F1dGhvcj48WWVhcj4xOTk5PC9ZZWFyPjxS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</w:fldData>
        </w:fldChar>
      </w:r>
      <w:r>
        <w:instrText xml:space="preserve"> ADDIN EN.CITE.DATA </w:instrText>
      </w:r>
      <w:r>
        <w:fldChar w:fldCharType="end"/>
      </w:r>
      <w:r>
        <w:fldChar w:fldCharType="separate"/>
      </w:r>
      <w:r>
        <w:rPr>
          <w:noProof/>
        </w:rPr>
        <w:t>(Martin et al., 1999; ICRP, 2024</w:t>
      </w:r>
      <w:r>
        <w:rPr>
          <w:rFonts w:hint="eastAsia"/>
          <w:noProof/>
        </w:rPr>
        <w:t>b</w:t>
      </w:r>
      <w:r>
        <w:rPr>
          <w:noProof/>
        </w:rPr>
        <w:t>)</w:t>
      </w:r>
      <w:r>
        <w:fldChar w:fldCharType="end"/>
      </w:r>
      <w:r>
        <w:t xml:space="preserve">. By way of example, the images shown in Fig. 6.2 below depict radiographs taken with and without copper filtration and show little change in image quality, but substantial reductions in KAP. </w:t>
      </w:r>
      <w:r>
        <w:rPr>
          <w:color w:val="000000" w:themeColor="text1"/>
        </w:rPr>
        <w:t xml:space="preserve">It should be noted that these images are from a cadaver study. </w:t>
      </w:r>
      <w:r>
        <w:t>A disadvantage of using copper filters is that an increased tube output is required to maintain the same level of quantum noise at the receptor</w:t>
      </w:r>
      <w:r>
        <w:rPr>
          <w:b/>
          <w:bCs/>
        </w:rPr>
        <w:t>.</w:t>
      </w:r>
      <w:r>
        <w:t xml:space="preserve"> There will also be a reduction in image contrast resulting from the enhanced absorption of low-energy photons. </w:t>
      </w:r>
    </w:p>
    <w:p w14:paraId="09AF9233" w14:textId="77777777" w:rsidR="00E72CA9" w:rsidRDefault="00D516E3">
      <w:pPr>
        <w:pStyle w:val="ICRPnumberedparagraph"/>
        <w:ind w:left="0"/>
      </w:pPr>
      <w:r>
        <w:t>If any additional filtration is incorporated into a system, the trade-off between image quality and organ absorbed or effective dose as well as the impact on the tube loading should be evaluated thoroughly before the system is introduced into clinical practice to ensure that the diagnostic quality of the images is not compromised.</w:t>
      </w:r>
    </w:p>
    <w:p w14:paraId="2F885B1C" w14:textId="77777777" w:rsidR="00E72CA9" w:rsidRDefault="00E72CA9">
      <w:pPr>
        <w:pStyle w:val="ICRPnumberedparagraph"/>
        <w:numPr>
          <w:ilvl w:val="0"/>
          <w:numId w:val="0"/>
        </w:numPr>
        <w:tabs>
          <w:tab w:val="clear" w:pos="851"/>
          <w:tab w:val="left" w:pos="709"/>
        </w:tabs>
      </w:pPr>
    </w:p>
    <w:p w14:paraId="1D1C1DF0" w14:textId="77777777" w:rsidR="00E72CA9" w:rsidRDefault="00D516E3">
      <w:pPr>
        <w:widowControl w:val="0"/>
        <w:suppressAutoHyphens/>
        <w:jc w:val="center"/>
        <w:textAlignment w:val="baseline"/>
        <w:rPr>
          <w:lang w:eastAsia="zh-CN"/>
        </w:rPr>
      </w:pPr>
      <w:r>
        <w:rPr>
          <w:noProof/>
        </w:rPr>
        <w:drawing>
          <wp:inline distT="0" distB="0" distL="0" distR="0" wp14:anchorId="688238A0" wp14:editId="66C348F6">
            <wp:extent cx="5879833" cy="1473718"/>
            <wp:effectExtent l="0" t="0" r="6985" b="0"/>
            <wp:docPr id="1451144071" name="Picture 1451144071" descr="X-ray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X-ray of a person's body&#10;&#10;Description automatically generated"/>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976200" cy="1497871"/>
                    </a:xfrm>
                    <a:prstGeom prst="rect">
                      <a:avLst/>
                    </a:prstGeom>
                    <a:noFill/>
                  </pic:spPr>
                </pic:pic>
              </a:graphicData>
            </a:graphic>
          </wp:inline>
        </w:drawing>
      </w:r>
    </w:p>
    <w:p w14:paraId="5AB52EB7" w14:textId="77777777" w:rsidR="00E72CA9" w:rsidRDefault="00D516E3">
      <w:pPr>
        <w:widowControl w:val="0"/>
        <w:suppressAutoHyphens/>
        <w:jc w:val="both"/>
        <w:textAlignment w:val="baseline"/>
        <w:rPr>
          <w:rFonts w:eastAsia="PMingLiU, 新細明體"/>
          <w:color w:val="242021"/>
          <w:sz w:val="22"/>
          <w:lang w:eastAsia="zh-CN"/>
        </w:rPr>
      </w:pPr>
      <w:r>
        <w:rPr>
          <w:rFonts w:eastAsia="PMingLiU, 新細明體"/>
          <w:color w:val="242021"/>
          <w:sz w:val="22"/>
          <w:lang w:eastAsia="zh-CN"/>
        </w:rPr>
        <w:t xml:space="preserve">                       a</w:t>
      </w:r>
      <w:r>
        <w:rPr>
          <w:rFonts w:eastAsia="PMingLiU, 新細明體"/>
          <w:color w:val="242021"/>
          <w:sz w:val="22"/>
          <w:lang w:eastAsia="zh-CN"/>
        </w:rPr>
        <w:tab/>
        <w:t xml:space="preserve">              </w:t>
      </w:r>
      <w:r>
        <w:rPr>
          <w:rFonts w:eastAsia="PMingLiU, 新細明體"/>
          <w:color w:val="242021"/>
          <w:sz w:val="22"/>
          <w:lang w:eastAsia="zh-CN"/>
        </w:rPr>
        <w:tab/>
        <w:t xml:space="preserve">            b</w:t>
      </w:r>
      <w:r>
        <w:rPr>
          <w:rFonts w:eastAsia="PMingLiU, 新細明體"/>
          <w:color w:val="242021"/>
          <w:sz w:val="22"/>
          <w:lang w:eastAsia="zh-CN"/>
        </w:rPr>
        <w:tab/>
      </w:r>
      <w:r>
        <w:rPr>
          <w:rFonts w:eastAsia="PMingLiU, 新細明體"/>
          <w:color w:val="242021"/>
          <w:sz w:val="22"/>
          <w:lang w:eastAsia="zh-CN"/>
        </w:rPr>
        <w:tab/>
        <w:t xml:space="preserve">                     c</w:t>
      </w:r>
      <w:r>
        <w:rPr>
          <w:rFonts w:eastAsia="PMingLiU, 新細明體"/>
          <w:color w:val="242021"/>
          <w:sz w:val="22"/>
          <w:lang w:eastAsia="zh-CN"/>
        </w:rPr>
        <w:tab/>
      </w:r>
      <w:r>
        <w:rPr>
          <w:rFonts w:eastAsia="PMingLiU, 新細明體"/>
          <w:color w:val="242021"/>
          <w:sz w:val="22"/>
          <w:lang w:eastAsia="zh-CN"/>
        </w:rPr>
        <w:tab/>
        <w:t xml:space="preserve">                  d</w:t>
      </w:r>
    </w:p>
    <w:p w14:paraId="73CE1AF6" w14:textId="77777777" w:rsidR="00E72CA9" w:rsidRDefault="00D516E3">
      <w:pPr>
        <w:widowControl w:val="0"/>
        <w:suppressAutoHyphens/>
        <w:jc w:val="both"/>
        <w:textAlignment w:val="baseline"/>
        <w:rPr>
          <w:rFonts w:eastAsia="PMingLiU, 新細明體"/>
          <w:color w:val="000000" w:themeColor="text1"/>
          <w:sz w:val="22"/>
          <w:lang w:eastAsia="zh-CN"/>
        </w:rPr>
      </w:pPr>
      <w:r>
        <w:rPr>
          <w:rFonts w:eastAsia="PMingLiU, 新細明體"/>
          <w:color w:val="242021"/>
          <w:sz w:val="22"/>
          <w:lang w:eastAsia="zh-CN"/>
        </w:rPr>
        <w:t xml:space="preserve">Fig 6.2. </w:t>
      </w:r>
      <w:r>
        <w:rPr>
          <w:rFonts w:eastAsia="PMingLiU, 新細明體"/>
          <w:color w:val="000000" w:themeColor="text1"/>
          <w:sz w:val="22"/>
          <w:lang w:eastAsia="zh-CN"/>
        </w:rPr>
        <w:t xml:space="preserve">Pelvic radiographs of a cadaver taken at 81 kV with a Siemens Axiom Aristos FX x-ray set showing the effect of additional copper filters. Exposures from left to right were taken with the following thicknesses of copper 0 mm (a), 0.1 mm (b), 0.2 mm (c), and 0.3 mm (d), and the ratio of KAP values to that obtained with no copper filtration are 1.0, 0.69, 0.44, and 0.34, respectively </w:t>
      </w:r>
      <w:r>
        <w:rPr>
          <w:rFonts w:eastAsia="PMingLiU, 新細明體"/>
          <w:color w:val="000000" w:themeColor="text1"/>
          <w:sz w:val="22"/>
          <w:lang w:eastAsia="zh-CN"/>
        </w:rPr>
        <w:fldChar w:fldCharType="begin"/>
      </w:r>
      <w:r>
        <w:rPr>
          <w:rFonts w:eastAsia="PMingLiU, 新細明體"/>
          <w:color w:val="000000" w:themeColor="text1"/>
          <w:sz w:val="22"/>
          <w:lang w:eastAsia="zh-CN"/>
        </w:rPr>
        <w:instrText xml:space="preserve"> ADDIN EN.CITE &lt;EndNote&gt;&lt;Cite&gt;&lt;Author&gt;ICRP&lt;/Author&gt;&lt;Year&gt;2024&lt;/Year&gt;&lt;RecNum&gt;12488&lt;/RecNum&gt;&lt;DisplayText&gt;(ICRP, 2024c)&lt;/DisplayText&gt;&lt;record&gt;&lt;rec-number&gt;12488&lt;/rec-number&gt;&lt;foreign-keys&gt;&lt;key app="EN" db-id="rss5s0wzrpx9pwe5a0h5a9wkx9sf2zexde9d" timestamp="1696320829"&gt;12488&lt;/key&gt;&lt;/foreign-keys&gt;&lt;ref-type name="Journal Article"&gt;17&lt;/ref-type&gt;&lt;contributors&gt;&lt;authors&gt;&lt;author&gt;ICRP,&lt;/author&gt;&lt;/authors&gt;&lt;/contributors&gt;&lt;titles&gt;&lt;title&gt;Optimisation of Radiological Protection in Digital Radiology Techniques for Medical Imaging. ICRP Publication 154. &lt;/title&gt;&lt;secondary-title&gt;Annals of the ICRP&lt;/secondary-title&gt;&lt;/titles&gt;&lt;periodical&gt;&lt;full-title&gt;Annals of the ICRP&lt;/full-title&gt;&lt;abbr-1&gt;Ann. ICRP&lt;/abbr-1&gt;&lt;abbr-2&gt;Ann ICRP&lt;/abbr-2&gt;&lt;/periodical&gt;&lt;pages&gt;1-xxx&lt;/pages&gt;&lt;volume&gt;5x&lt;/volume&gt;&lt;number&gt;x&lt;/number&gt;&lt;dates&gt;&lt;year&gt;2024&lt;/year&gt;&lt;pub-dates&gt;&lt;date&gt;2024/xx/xx&lt;/date&gt;&lt;/pub-dates&gt;&lt;/dates&gt;&lt;publisher&gt;SAGE Publications Ltd&lt;/publisher&gt;&lt;urls&gt;&lt;/urls&gt;&lt;/record&gt;&lt;/Cite&gt;&lt;/EndNote&gt;</w:instrText>
      </w:r>
      <w:r>
        <w:rPr>
          <w:rFonts w:eastAsia="PMingLiU, 新細明體"/>
          <w:color w:val="000000" w:themeColor="text1"/>
          <w:sz w:val="22"/>
          <w:lang w:eastAsia="zh-CN"/>
        </w:rPr>
        <w:fldChar w:fldCharType="separate"/>
      </w:r>
      <w:r>
        <w:rPr>
          <w:rFonts w:eastAsia="PMingLiU, 新細明體"/>
          <w:noProof/>
          <w:color w:val="000000" w:themeColor="text1"/>
          <w:sz w:val="22"/>
          <w:lang w:eastAsia="zh-CN"/>
        </w:rPr>
        <w:t>(ICRP, 2024</w:t>
      </w:r>
      <w:r>
        <w:rPr>
          <w:rFonts w:eastAsia="PMingLiU, 新細明體" w:hint="eastAsia"/>
          <w:noProof/>
          <w:color w:val="000000" w:themeColor="text1"/>
          <w:sz w:val="22"/>
          <w:lang w:eastAsia="ja-JP"/>
        </w:rPr>
        <w:t>b</w:t>
      </w:r>
      <w:r>
        <w:rPr>
          <w:rFonts w:eastAsia="PMingLiU, 新細明體"/>
          <w:noProof/>
          <w:color w:val="000000" w:themeColor="text1"/>
          <w:sz w:val="22"/>
          <w:lang w:eastAsia="zh-CN"/>
        </w:rPr>
        <w:t>)</w:t>
      </w:r>
      <w:r>
        <w:rPr>
          <w:rFonts w:eastAsia="PMingLiU, 新細明體"/>
          <w:color w:val="000000" w:themeColor="text1"/>
          <w:sz w:val="22"/>
          <w:lang w:eastAsia="zh-CN"/>
        </w:rPr>
        <w:fldChar w:fldCharType="end"/>
      </w:r>
      <w:r>
        <w:rPr>
          <w:rFonts w:eastAsia="PMingLiU, 新細明體"/>
          <w:color w:val="000000" w:themeColor="text1"/>
          <w:sz w:val="22"/>
          <w:lang w:eastAsia="zh-CN"/>
        </w:rPr>
        <w:t xml:space="preserve">. </w:t>
      </w:r>
    </w:p>
    <w:p w14:paraId="44ED5291" w14:textId="77777777" w:rsidR="00E72CA9" w:rsidRDefault="00E72CA9">
      <w:pPr>
        <w:widowControl w:val="0"/>
        <w:suppressAutoHyphens/>
        <w:jc w:val="both"/>
        <w:textAlignment w:val="baseline"/>
        <w:rPr>
          <w:lang w:eastAsia="zh-CN"/>
        </w:rPr>
      </w:pPr>
    </w:p>
    <w:p w14:paraId="5F85609C" w14:textId="77777777" w:rsidR="00E72CA9" w:rsidRDefault="00D516E3">
      <w:pPr>
        <w:pStyle w:val="ICRPnumberedparagraph"/>
        <w:ind w:left="0"/>
        <w:rPr>
          <w:color w:val="000000" w:themeColor="text1"/>
        </w:rPr>
      </w:pPr>
      <w:r>
        <w:t xml:space="preserve">The data presented in this publication can be used to assist in that process and also inform practitioners of potential dose saving methods. To show the effects of filtration, consider the four pelvis radiographs shown in Fig. 6.2. A typical KAP value for a pelvic radiograph is 2.2 </w:t>
      </w:r>
      <w:r>
        <w:rPr>
          <w:rFonts w:eastAsia="PMingLiU, 新細明體"/>
        </w:rPr>
        <w:t>Gy cm</w:t>
      </w:r>
      <w:r>
        <w:rPr>
          <w:rFonts w:eastAsia="PMingLiU, 新細明體"/>
          <w:vertAlign w:val="superscript"/>
        </w:rPr>
        <w:t>2</w:t>
      </w:r>
      <w:r>
        <w:rPr>
          <w:rFonts w:eastAsia="PMingLiU, 新細明體"/>
        </w:rPr>
        <w:t xml:space="preserve">. </w:t>
      </w:r>
      <w:r>
        <w:t xml:space="preserve">The beam qualities shown in table 6.3 have been used to determine effective dose at 81 kV for a pelvis x ray, as defined in Annex B, using the male and female projections to generate </w:t>
      </w:r>
      <w:r>
        <w:rPr>
          <w:i/>
        </w:rPr>
        <w:t>E</w:t>
      </w:r>
      <w:r>
        <w:t xml:space="preserve"> = </w:t>
      </w:r>
      <w:r>
        <w:rPr>
          <w:lang w:val="en-US"/>
        </w:rPr>
        <w:t>(</w:t>
      </w:r>
      <w:r>
        <w:rPr>
          <w:i/>
          <w:lang w:val="en-US"/>
        </w:rPr>
        <w:t>E</w:t>
      </w:r>
      <w:r>
        <w:rPr>
          <w:vertAlign w:val="subscript"/>
          <w:lang w:val="en-US"/>
        </w:rPr>
        <w:t>103,AM</w:t>
      </w:r>
      <w:r>
        <w:rPr>
          <w:lang w:val="en-US"/>
        </w:rPr>
        <w:t xml:space="preserve"> + </w:t>
      </w:r>
      <w:r>
        <w:rPr>
          <w:i/>
          <w:lang w:val="en-US"/>
        </w:rPr>
        <w:t>E</w:t>
      </w:r>
      <w:r>
        <w:rPr>
          <w:vertAlign w:val="subscript"/>
          <w:lang w:val="en-US"/>
        </w:rPr>
        <w:t>103,AF</w:t>
      </w:r>
      <w:r>
        <w:rPr>
          <w:lang w:val="en-US"/>
        </w:rPr>
        <w:t xml:space="preserve">)/2 for KAP values of </w:t>
      </w:r>
      <w:r>
        <w:rPr>
          <w:rFonts w:eastAsia="PMingLiU, 新細明體"/>
        </w:rPr>
        <w:t>2.2, 1.5, 0.96, and 0.76 Gy cm</w:t>
      </w:r>
      <w:r>
        <w:rPr>
          <w:rFonts w:eastAsia="PMingLiU, 新細明體"/>
          <w:vertAlign w:val="superscript"/>
        </w:rPr>
        <w:t xml:space="preserve">2 </w:t>
      </w:r>
      <w:r>
        <w:rPr>
          <w:rFonts w:eastAsia="PMingLiU, 新細明體"/>
        </w:rPr>
        <w:t xml:space="preserve">respectively (obtained using the ratios shown in the legend to  Fig 6.2). </w:t>
      </w:r>
      <w:r>
        <w:rPr>
          <w:color w:val="000000" w:themeColor="text1"/>
        </w:rPr>
        <w:t xml:space="preserve">Table 6.3 shows that the effective dose can be reduced by a factor of approximately two by including an additional 0.2 mm copper filtration which will result in an additional load on the tube of approximately 50%. </w:t>
      </w:r>
    </w:p>
    <w:p w14:paraId="1AD83C02" w14:textId="77777777" w:rsidR="00E72CA9" w:rsidRDefault="00D516E3">
      <w:pPr>
        <w:pStyle w:val="ICRPnumberedparagraph"/>
        <w:ind w:left="0"/>
        <w:rPr>
          <w:color w:val="000000" w:themeColor="text1"/>
        </w:rPr>
      </w:pPr>
      <w:r>
        <w:rPr>
          <w:color w:val="000000" w:themeColor="text1"/>
        </w:rPr>
        <w:t xml:space="preserve">The data have also been used to assess the effect of additional filtration on the dose to the uterus under the same conditions demonstrating a similar dose reduction, as shown in Table 6.3 for a pelvis examination of an adult female. This reduction has potential implications in, for example, the justification and optimisation of examinations of patients who may be or </w:t>
      </w:r>
      <w:r>
        <w:rPr>
          <w:color w:val="000000" w:themeColor="text1"/>
        </w:rPr>
        <w:lastRenderedPageBreak/>
        <w:t>indeed are pregnant. Practitioners can use this type of calculation to determine how to image such patients.</w:t>
      </w:r>
    </w:p>
    <w:p w14:paraId="7482CB73" w14:textId="77777777" w:rsidR="00E72CA9" w:rsidRDefault="00D516E3">
      <w:pPr>
        <w:pStyle w:val="ICRPnumberedparagraph"/>
        <w:ind w:left="0"/>
        <w:rPr>
          <w:color w:val="000000" w:themeColor="text1"/>
        </w:rPr>
      </w:pPr>
      <w:r>
        <w:rPr>
          <w:color w:val="000000" w:themeColor="text1"/>
        </w:rPr>
        <w:t xml:space="preserve">The table also gives an indication of the additional tube loading required. This was determined from the exit spectra from an additional 200 mm of polymethyl methacrylate (PMMA) used to mimic a patient. Spectra were generated using the software described in IPEM Report 78 </w:t>
      </w:r>
      <w:r>
        <w:rPr>
          <w:color w:val="000000" w:themeColor="text1"/>
        </w:rPr>
        <w:fldChar w:fldCharType="begin"/>
      </w:r>
      <w:r>
        <w:rPr>
          <w:color w:val="000000" w:themeColor="text1"/>
        </w:rPr>
        <w:instrText xml:space="preserve"> ADDIN EN.CITE &lt;EndNote&gt;&lt;Cite&gt;&lt;Author&gt;Sutton&lt;/Author&gt;&lt;Year&gt;2015&lt;/Year&gt;&lt;RecNum&gt;12471&lt;/RecNum&gt;&lt;DisplayText&gt;(Sutton, 2015)&lt;/DisplayText&gt;&lt;record&gt;&lt;rec-number&gt;12471&lt;/rec-number&gt;&lt;foreign-keys&gt;&lt;key app="EN" db-id="rss5s0wzrpx9pwe5a0h5a9wkx9sf2zexde9d" timestamp="1686133094"&gt;12471&lt;/key&gt;&lt;/foreign-keys&gt;&lt;ref-type name="Book"&gt;6&lt;/ref-type&gt;&lt;contributors&gt;&lt;authors&gt;&lt;author&gt;D G Sutton&lt;/author&gt;&lt;/authors&gt;&lt;secondary-authors&gt;&lt;author&gt;Institute of Physics &amp;amp; Engineering In Medicine&lt;/author&gt;&lt;/secondary-authors&gt;&lt;/contributors&gt;&lt;titles&gt;&lt;title&gt;Report 78 Catalogue of Diagnostic X-Ray Spectra and other data (CD) 2nd Edition &lt;/title&gt;&lt;secondary-title&gt;IPEM Report Series&lt;/secondary-title&gt;&lt;/titles&gt;&lt;num-vols&gt;78&lt;/num-vols&gt;&lt;dates&gt;&lt;year&gt;2015&lt;/year&gt;&lt;/dates&gt;&lt;publisher&gt;Institute of Physics &amp;amp; Engineering In Medicine&lt;/publisher&gt;&lt;urls&gt;&lt;/urls&gt;&lt;/record&gt;&lt;/Cite&gt;&lt;/EndNote&gt;</w:instrText>
      </w:r>
      <w:r>
        <w:rPr>
          <w:color w:val="000000" w:themeColor="text1"/>
        </w:rPr>
        <w:fldChar w:fldCharType="separate"/>
      </w:r>
      <w:r>
        <w:rPr>
          <w:noProof/>
          <w:color w:val="000000" w:themeColor="text1"/>
        </w:rPr>
        <w:t>(Sutton, 2015)</w:t>
      </w:r>
      <w:r>
        <w:rPr>
          <w:color w:val="000000" w:themeColor="text1"/>
        </w:rPr>
        <w:fldChar w:fldCharType="end"/>
      </w:r>
      <w:r>
        <w:rPr>
          <w:color w:val="000000" w:themeColor="text1"/>
        </w:rPr>
        <w:t>, using an anode angle of 13 degrees and no voltage ripple. The doses were then evaluated using the dose coefficients calculated for monoenergetic photons in conjunction with the convolution method described above.</w:t>
      </w:r>
    </w:p>
    <w:p w14:paraId="58C3F9DB" w14:textId="77777777" w:rsidR="00E72CA9" w:rsidRDefault="00E72CA9"/>
    <w:p w14:paraId="715522CB" w14:textId="77777777" w:rsidR="00E72CA9" w:rsidRDefault="00D516E3">
      <w:r>
        <w:t>Table 6.3. Reduction in effective dose and uterine dose in pelvis examination of an adult female caused by the addition of filtration.</w:t>
      </w:r>
    </w:p>
    <w:tbl>
      <w:tblPr>
        <w:tblStyle w:val="a8"/>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14"/>
        <w:gridCol w:w="1842"/>
        <w:gridCol w:w="1985"/>
        <w:gridCol w:w="1928"/>
      </w:tblGrid>
      <w:tr w:rsidR="00E72CA9" w14:paraId="54F3DD04" w14:textId="77777777">
        <w:tc>
          <w:tcPr>
            <w:tcW w:w="2547" w:type="dxa"/>
            <w:tcBorders>
              <w:top w:val="single" w:sz="4" w:space="0" w:color="auto"/>
              <w:bottom w:val="single" w:sz="4" w:space="0" w:color="auto"/>
            </w:tcBorders>
            <w:vAlign w:val="bottom"/>
          </w:tcPr>
          <w:p w14:paraId="6A24B696" w14:textId="77777777" w:rsidR="00E72CA9" w:rsidRDefault="00D516E3">
            <w:r>
              <w:t xml:space="preserve">Beam quality at 81 kV </w:t>
            </w:r>
          </w:p>
        </w:tc>
        <w:tc>
          <w:tcPr>
            <w:tcW w:w="714" w:type="dxa"/>
            <w:tcBorders>
              <w:top w:val="single" w:sz="4" w:space="0" w:color="auto"/>
              <w:bottom w:val="single" w:sz="4" w:space="0" w:color="auto"/>
            </w:tcBorders>
            <w:vAlign w:val="bottom"/>
          </w:tcPr>
          <w:p w14:paraId="1D7D879D" w14:textId="77777777" w:rsidR="00E72CA9" w:rsidRDefault="00D516E3">
            <w:r>
              <w:t>KAP</w:t>
            </w:r>
          </w:p>
        </w:tc>
        <w:tc>
          <w:tcPr>
            <w:tcW w:w="1842" w:type="dxa"/>
            <w:tcBorders>
              <w:top w:val="single" w:sz="4" w:space="0" w:color="auto"/>
              <w:bottom w:val="single" w:sz="4" w:space="0" w:color="auto"/>
            </w:tcBorders>
            <w:vAlign w:val="bottom"/>
          </w:tcPr>
          <w:p w14:paraId="73C853D2" w14:textId="77777777" w:rsidR="00E72CA9" w:rsidRDefault="00D516E3">
            <w:pPr>
              <w:rPr>
                <w:lang w:val="de-DE" w:eastAsia="zh-CN"/>
              </w:rPr>
            </w:pPr>
            <w:r>
              <w:rPr>
                <w:lang w:val="de-DE" w:eastAsia="zh-CN"/>
              </w:rPr>
              <w:t>Effective dose</w:t>
            </w:r>
            <w:r>
              <w:rPr>
                <w:vertAlign w:val="superscript"/>
                <w:lang w:val="de-DE" w:eastAsia="zh-CN"/>
              </w:rPr>
              <w:t>*</w:t>
            </w:r>
          </w:p>
          <w:p w14:paraId="67448B8F" w14:textId="77777777" w:rsidR="00E72CA9" w:rsidRDefault="00D516E3">
            <w:pPr>
              <w:rPr>
                <w:lang w:val="de-DE"/>
              </w:rPr>
            </w:pPr>
            <w:r>
              <w:rPr>
                <w:lang w:val="de-DE" w:eastAsia="zh-CN"/>
              </w:rPr>
              <w:t xml:space="preserve"> (mSv)</w:t>
            </w:r>
          </w:p>
        </w:tc>
        <w:tc>
          <w:tcPr>
            <w:tcW w:w="1985" w:type="dxa"/>
            <w:tcBorders>
              <w:top w:val="single" w:sz="4" w:space="0" w:color="auto"/>
              <w:bottom w:val="single" w:sz="4" w:space="0" w:color="auto"/>
            </w:tcBorders>
            <w:vAlign w:val="bottom"/>
          </w:tcPr>
          <w:p w14:paraId="4BAAD8EC" w14:textId="77777777" w:rsidR="00E72CA9" w:rsidRDefault="00D516E3">
            <w:r>
              <w:t>Uterus absorbed dose (mGy)</w:t>
            </w:r>
          </w:p>
        </w:tc>
        <w:tc>
          <w:tcPr>
            <w:tcW w:w="1928" w:type="dxa"/>
            <w:tcBorders>
              <w:top w:val="single" w:sz="4" w:space="0" w:color="auto"/>
              <w:bottom w:val="single" w:sz="4" w:space="0" w:color="auto"/>
            </w:tcBorders>
            <w:vAlign w:val="bottom"/>
          </w:tcPr>
          <w:p w14:paraId="7450A5C1" w14:textId="77777777" w:rsidR="00E72CA9" w:rsidRDefault="00D516E3">
            <w:r>
              <w:t xml:space="preserve">Indicative increase in tube current </w:t>
            </w:r>
          </w:p>
        </w:tc>
      </w:tr>
      <w:tr w:rsidR="00E72CA9" w14:paraId="7E9DB784" w14:textId="77777777">
        <w:tc>
          <w:tcPr>
            <w:tcW w:w="2547" w:type="dxa"/>
            <w:tcBorders>
              <w:top w:val="single" w:sz="4" w:space="0" w:color="auto"/>
            </w:tcBorders>
          </w:tcPr>
          <w:p w14:paraId="2A72BEB1" w14:textId="77777777" w:rsidR="00E72CA9" w:rsidRDefault="00D516E3">
            <w:r>
              <w:t>3 mm Al + 0 mm Cu</w:t>
            </w:r>
          </w:p>
        </w:tc>
        <w:tc>
          <w:tcPr>
            <w:tcW w:w="714" w:type="dxa"/>
            <w:tcBorders>
              <w:top w:val="single" w:sz="4" w:space="0" w:color="auto"/>
            </w:tcBorders>
          </w:tcPr>
          <w:p w14:paraId="0F0A56C8" w14:textId="77777777" w:rsidR="00E72CA9" w:rsidRDefault="00D516E3">
            <w:r>
              <w:t>2.2</w:t>
            </w:r>
          </w:p>
        </w:tc>
        <w:tc>
          <w:tcPr>
            <w:tcW w:w="1842" w:type="dxa"/>
            <w:tcBorders>
              <w:top w:val="single" w:sz="4" w:space="0" w:color="auto"/>
            </w:tcBorders>
          </w:tcPr>
          <w:p w14:paraId="1AAFFF44" w14:textId="77777777" w:rsidR="00E72CA9" w:rsidRDefault="00D516E3">
            <w:r>
              <w:t>0.27</w:t>
            </w:r>
          </w:p>
        </w:tc>
        <w:tc>
          <w:tcPr>
            <w:tcW w:w="1985" w:type="dxa"/>
            <w:tcBorders>
              <w:top w:val="single" w:sz="4" w:space="0" w:color="auto"/>
            </w:tcBorders>
          </w:tcPr>
          <w:p w14:paraId="6CE0878D" w14:textId="77777777" w:rsidR="00E72CA9" w:rsidRDefault="00D516E3">
            <w:r>
              <w:t>0.92</w:t>
            </w:r>
          </w:p>
        </w:tc>
        <w:tc>
          <w:tcPr>
            <w:tcW w:w="1928" w:type="dxa"/>
            <w:tcBorders>
              <w:top w:val="single" w:sz="4" w:space="0" w:color="auto"/>
            </w:tcBorders>
          </w:tcPr>
          <w:p w14:paraId="7CBD20BC" w14:textId="77777777" w:rsidR="00E72CA9" w:rsidRDefault="00D516E3">
            <w:r>
              <w:t>0%</w:t>
            </w:r>
          </w:p>
        </w:tc>
      </w:tr>
      <w:tr w:rsidR="00E72CA9" w14:paraId="2E3BCFB8" w14:textId="77777777">
        <w:tc>
          <w:tcPr>
            <w:tcW w:w="2547" w:type="dxa"/>
          </w:tcPr>
          <w:p w14:paraId="03964076" w14:textId="77777777" w:rsidR="00E72CA9" w:rsidRDefault="00D516E3">
            <w:r>
              <w:t>3 mm Al + 0.1 mm Cu</w:t>
            </w:r>
          </w:p>
        </w:tc>
        <w:tc>
          <w:tcPr>
            <w:tcW w:w="714" w:type="dxa"/>
          </w:tcPr>
          <w:p w14:paraId="3633ABEF" w14:textId="77777777" w:rsidR="00E72CA9" w:rsidRDefault="00D516E3">
            <w:r>
              <w:t>1.5</w:t>
            </w:r>
          </w:p>
        </w:tc>
        <w:tc>
          <w:tcPr>
            <w:tcW w:w="1842" w:type="dxa"/>
          </w:tcPr>
          <w:p w14:paraId="7757CB15" w14:textId="77777777" w:rsidR="00E72CA9" w:rsidRDefault="00D516E3">
            <w:r>
              <w:t>0.19</w:t>
            </w:r>
          </w:p>
        </w:tc>
        <w:tc>
          <w:tcPr>
            <w:tcW w:w="1985" w:type="dxa"/>
          </w:tcPr>
          <w:p w14:paraId="7E16EDF8" w14:textId="77777777" w:rsidR="00E72CA9" w:rsidRDefault="00D516E3">
            <w:r>
              <w:t>0.71</w:t>
            </w:r>
          </w:p>
        </w:tc>
        <w:tc>
          <w:tcPr>
            <w:tcW w:w="1928" w:type="dxa"/>
          </w:tcPr>
          <w:p w14:paraId="50B44159" w14:textId="77777777" w:rsidR="00E72CA9" w:rsidRDefault="00D516E3">
            <w:r>
              <w:t>30%</w:t>
            </w:r>
          </w:p>
        </w:tc>
      </w:tr>
      <w:tr w:rsidR="00E72CA9" w14:paraId="46FB56CB" w14:textId="77777777">
        <w:tc>
          <w:tcPr>
            <w:tcW w:w="2547" w:type="dxa"/>
          </w:tcPr>
          <w:p w14:paraId="479C9E42" w14:textId="77777777" w:rsidR="00E72CA9" w:rsidRDefault="00D516E3">
            <w:r>
              <w:t>3 mm Al + 0.2 mm Cu</w:t>
            </w:r>
          </w:p>
        </w:tc>
        <w:tc>
          <w:tcPr>
            <w:tcW w:w="714" w:type="dxa"/>
          </w:tcPr>
          <w:p w14:paraId="5E7030B4" w14:textId="77777777" w:rsidR="00E72CA9" w:rsidRDefault="00D516E3">
            <w:r>
              <w:t>0.96</w:t>
            </w:r>
          </w:p>
        </w:tc>
        <w:tc>
          <w:tcPr>
            <w:tcW w:w="1842" w:type="dxa"/>
          </w:tcPr>
          <w:p w14:paraId="1109445B" w14:textId="77777777" w:rsidR="00E72CA9" w:rsidRDefault="00D516E3">
            <w:r>
              <w:t>0.13</w:t>
            </w:r>
          </w:p>
        </w:tc>
        <w:tc>
          <w:tcPr>
            <w:tcW w:w="1985" w:type="dxa"/>
          </w:tcPr>
          <w:p w14:paraId="2B901E2B" w14:textId="77777777" w:rsidR="00E72CA9" w:rsidRDefault="00D516E3">
            <w:r>
              <w:t>0.49</w:t>
            </w:r>
          </w:p>
        </w:tc>
        <w:tc>
          <w:tcPr>
            <w:tcW w:w="1928" w:type="dxa"/>
          </w:tcPr>
          <w:p w14:paraId="52E2198F" w14:textId="77777777" w:rsidR="00E72CA9" w:rsidRDefault="00D516E3">
            <w:r>
              <w:t>60%</w:t>
            </w:r>
          </w:p>
        </w:tc>
      </w:tr>
      <w:tr w:rsidR="00E72CA9" w14:paraId="0C392B9E" w14:textId="77777777">
        <w:tc>
          <w:tcPr>
            <w:tcW w:w="2547" w:type="dxa"/>
          </w:tcPr>
          <w:p w14:paraId="333D8D67" w14:textId="77777777" w:rsidR="00E72CA9" w:rsidRDefault="00D516E3">
            <w:r>
              <w:t>3 mm Al + 0.3 mm Cu</w:t>
            </w:r>
          </w:p>
        </w:tc>
        <w:tc>
          <w:tcPr>
            <w:tcW w:w="714" w:type="dxa"/>
          </w:tcPr>
          <w:p w14:paraId="5B667239" w14:textId="77777777" w:rsidR="00E72CA9" w:rsidRDefault="00D516E3">
            <w:r>
              <w:t>0.76</w:t>
            </w:r>
          </w:p>
        </w:tc>
        <w:tc>
          <w:tcPr>
            <w:tcW w:w="1842" w:type="dxa"/>
          </w:tcPr>
          <w:p w14:paraId="0438CB54" w14:textId="77777777" w:rsidR="00E72CA9" w:rsidRDefault="00D516E3">
            <w:r>
              <w:t>0.10</w:t>
            </w:r>
          </w:p>
        </w:tc>
        <w:tc>
          <w:tcPr>
            <w:tcW w:w="1985" w:type="dxa"/>
          </w:tcPr>
          <w:p w14:paraId="11DD0818" w14:textId="77777777" w:rsidR="00E72CA9" w:rsidRDefault="00D516E3">
            <w:r>
              <w:t>0.20</w:t>
            </w:r>
          </w:p>
        </w:tc>
        <w:tc>
          <w:tcPr>
            <w:tcW w:w="1928" w:type="dxa"/>
          </w:tcPr>
          <w:p w14:paraId="678C4B7F" w14:textId="77777777" w:rsidR="00E72CA9" w:rsidRDefault="00D516E3">
            <w:r>
              <w:t>100%</w:t>
            </w:r>
          </w:p>
        </w:tc>
      </w:tr>
    </w:tbl>
    <w:p w14:paraId="084B1622" w14:textId="77777777" w:rsidR="00E72CA9" w:rsidRDefault="00D516E3">
      <w:pPr>
        <w:rPr>
          <w:sz w:val="20"/>
          <w:szCs w:val="20"/>
          <w:lang w:eastAsia="ja-JP"/>
        </w:rPr>
      </w:pPr>
      <w:r>
        <w:rPr>
          <w:sz w:val="20"/>
          <w:szCs w:val="20"/>
          <w:vertAlign w:val="superscript"/>
        </w:rPr>
        <w:t>*</w:t>
      </w:r>
      <w:r>
        <w:rPr>
          <w:i/>
          <w:iCs/>
          <w:sz w:val="20"/>
          <w:szCs w:val="20"/>
        </w:rPr>
        <w:t xml:space="preserve">E </w:t>
      </w:r>
      <w:r>
        <w:rPr>
          <w:sz w:val="20"/>
          <w:szCs w:val="20"/>
        </w:rPr>
        <w:t>= (E</w:t>
      </w:r>
      <w:r>
        <w:rPr>
          <w:sz w:val="20"/>
          <w:szCs w:val="20"/>
          <w:vertAlign w:val="subscript"/>
        </w:rPr>
        <w:t xml:space="preserve">103,AM </w:t>
      </w:r>
      <w:r>
        <w:rPr>
          <w:sz w:val="20"/>
          <w:szCs w:val="20"/>
        </w:rPr>
        <w:t>+ E</w:t>
      </w:r>
      <w:r>
        <w:rPr>
          <w:sz w:val="20"/>
          <w:szCs w:val="20"/>
          <w:vertAlign w:val="subscript"/>
        </w:rPr>
        <w:t>103,AF</w:t>
      </w:r>
      <w:r>
        <w:rPr>
          <w:sz w:val="20"/>
          <w:szCs w:val="20"/>
        </w:rPr>
        <w:t xml:space="preserve">) / 2 </w:t>
      </w:r>
      <w:r>
        <w:rPr>
          <w:sz w:val="20"/>
          <w:szCs w:val="20"/>
        </w:rPr>
        <w:br w:type="page"/>
      </w:r>
    </w:p>
    <w:p w14:paraId="439CBFA3" w14:textId="77777777" w:rsidR="00E72CA9" w:rsidRDefault="00D516E3">
      <w:pPr>
        <w:pStyle w:val="1"/>
      </w:pPr>
      <w:bookmarkStart w:id="135" w:name="_Toc158293343"/>
      <w:bookmarkStart w:id="136" w:name="_Toc158293663"/>
      <w:bookmarkStart w:id="137" w:name="_Toc165302049"/>
      <w:r>
        <w:lastRenderedPageBreak/>
        <w:t>UNCERTAINTIES AND LIMITATIONS</w:t>
      </w:r>
      <w:bookmarkEnd w:id="135"/>
      <w:bookmarkEnd w:id="136"/>
      <w:bookmarkEnd w:id="137"/>
    </w:p>
    <w:p w14:paraId="6F70AD46" w14:textId="77777777" w:rsidR="00E72CA9" w:rsidRDefault="00D516E3">
      <w:pPr>
        <w:pStyle w:val="2"/>
      </w:pPr>
      <w:bookmarkStart w:id="138" w:name="_Toc158293344"/>
      <w:bookmarkStart w:id="139" w:name="_Toc158293664"/>
      <w:bookmarkStart w:id="140" w:name="_Toc165302050"/>
      <w:r>
        <w:t>Influence of phantoms and field size</w:t>
      </w:r>
      <w:bookmarkEnd w:id="138"/>
      <w:bookmarkEnd w:id="139"/>
      <w:bookmarkEnd w:id="140"/>
      <w:r>
        <w:t xml:space="preserve"> </w:t>
      </w:r>
    </w:p>
    <w:p w14:paraId="50B44732" w14:textId="77777777" w:rsidR="00E72CA9" w:rsidRDefault="00D516E3">
      <w:pPr>
        <w:pStyle w:val="ICRPnumberedparagraph"/>
        <w:ind w:left="0"/>
        <w:rPr>
          <w:szCs w:val="24"/>
        </w:rPr>
      </w:pPr>
      <w:r>
        <w:rPr>
          <w:szCs w:val="24"/>
        </w:rPr>
        <w:t xml:space="preserve">The purpose of patient dosimetry for medical x-ray imaging is to check standards of good practice, contribute to the optimisation process </w:t>
      </w:r>
      <w:r>
        <w:rPr>
          <w:szCs w:val="24"/>
        </w:rPr>
        <w:fldChar w:fldCharType="begin"/>
      </w:r>
      <w:r>
        <w:rPr>
          <w:szCs w:val="24"/>
        </w:rPr>
        <w:instrText xml:space="preserve"> ADDIN EN.CITE &lt;EndNote&gt;&lt;Cite&gt;&lt;Author&gt;ICRP&lt;/Author&gt;&lt;Year&gt;2024&lt;/Year&gt;&lt;RecNum&gt;12488&lt;/RecNum&gt;&lt;DisplayText&gt;(ICRP, 2024c)&lt;/DisplayText&gt;&lt;record&gt;&lt;rec-number&gt;12488&lt;/rec-number&gt;&lt;foreign-keys&gt;&lt;key app="EN" db-id="rss5s0wzrpx9pwe5a0h5a9wkx9sf2zexde9d" timestamp="1696320829"&gt;12488&lt;/key&gt;&lt;/foreign-keys&gt;&lt;ref-type name="Journal Article"&gt;17&lt;/ref-type&gt;&lt;contributors&gt;&lt;authors&gt;&lt;author&gt;ICRP,&lt;/author&gt;&lt;/authors&gt;&lt;/contributors&gt;&lt;titles&gt;&lt;title&gt;Optimisation of Radiological Protection in Digital Radiology Techniques for Medical Imaging. ICRP Publication 154. &lt;/title&gt;&lt;secondary-title&gt;Annals of the ICRP&lt;/secondary-title&gt;&lt;/titles&gt;&lt;periodical&gt;&lt;full-title&gt;Annals of the ICRP&lt;/full-title&gt;&lt;abbr-1&gt;Ann. ICRP&lt;/abbr-1&gt;&lt;abbr-2&gt;Ann ICRP&lt;/abbr-2&gt;&lt;/periodical&gt;&lt;pages&gt;1-xxx&lt;/pages&gt;&lt;volume&gt;5x&lt;/volume&gt;&lt;number&gt;x&lt;/number&gt;&lt;dates&gt;&lt;year&gt;2024&lt;/year&gt;&lt;pub-dates&gt;&lt;date&gt;2024/xx/xx&lt;/date&gt;&lt;/pub-dates&gt;&lt;/dates&gt;&lt;publisher&gt;SAGE Publications Ltd&lt;/publisher&gt;&lt;urls&gt;&lt;/urls&gt;&lt;/record&gt;&lt;/Cite&gt;&lt;/EndNote&gt;</w:instrText>
      </w:r>
      <w:r>
        <w:rPr>
          <w:szCs w:val="24"/>
        </w:rPr>
        <w:fldChar w:fldCharType="separate"/>
      </w:r>
      <w:r>
        <w:rPr>
          <w:noProof/>
          <w:szCs w:val="24"/>
        </w:rPr>
        <w:t>(ICRP, 2024c)</w:t>
      </w:r>
      <w:r>
        <w:rPr>
          <w:szCs w:val="24"/>
        </w:rPr>
        <w:fldChar w:fldCharType="end"/>
      </w:r>
      <w:r>
        <w:rPr>
          <w:szCs w:val="24"/>
        </w:rPr>
        <w:t xml:space="preserve"> and </w:t>
      </w:r>
      <w:bookmarkStart w:id="141" w:name="_Hlk162299203"/>
      <w:r>
        <w:rPr>
          <w:szCs w:val="24"/>
        </w:rPr>
        <w:t xml:space="preserve">to assist in </w:t>
      </w:r>
      <w:bookmarkEnd w:id="141"/>
      <w:r>
        <w:rPr>
          <w:szCs w:val="24"/>
        </w:rPr>
        <w:t xml:space="preserve">assessing detriment. For the assessment of the risk detailed knowledge is required of organ absorbed doses and the age and sex of the patients concerned. Monte Carlo methods are commonly used to derive dose coefficients relating normalisation quantities such as </w:t>
      </w:r>
      <w:r>
        <w:t>KAP (</w:t>
      </w:r>
      <w:r>
        <w:rPr>
          <w:i/>
        </w:rPr>
        <w:t>P</w:t>
      </w:r>
      <w:r>
        <w:rPr>
          <w:vertAlign w:val="subscript"/>
        </w:rPr>
        <w:t>KA</w:t>
      </w:r>
      <w:r>
        <w:t>)</w:t>
      </w:r>
      <w:r>
        <w:rPr>
          <w:szCs w:val="24"/>
        </w:rPr>
        <w:t>, air kerma free-in-air or fluence to the organ absorbed dose.</w:t>
      </w:r>
    </w:p>
    <w:p w14:paraId="2F1C313E" w14:textId="77777777" w:rsidR="00E72CA9" w:rsidRDefault="00D516E3">
      <w:pPr>
        <w:pStyle w:val="ICRPnumberedparagraph"/>
        <w:ind w:left="0"/>
        <w:rPr>
          <w:rFonts w:eastAsia="Times New Roman"/>
          <w:szCs w:val="24"/>
          <w:lang w:val="en-US" w:eastAsia="en-US"/>
        </w:rPr>
      </w:pPr>
      <w:r>
        <w:rPr>
          <w:rFonts w:eastAsia="Times-Roman"/>
        </w:rPr>
        <w:t xml:space="preserve">The dose coefficients of this </w:t>
      </w:r>
      <w:r>
        <w:t>publication</w:t>
      </w:r>
      <w:r>
        <w:rPr>
          <w:rFonts w:eastAsia="Times-Roman"/>
        </w:rPr>
        <w:t xml:space="preserve"> are calculated for the reference phantoms at reference ages (newborn, 1-, 5-, 10-, 15- year old and adult) </w:t>
      </w:r>
      <w:r>
        <w:rPr>
          <w:rFonts w:eastAsia="Times-Roman"/>
        </w:rPr>
        <w:fldChar w:fldCharType="begin"/>
      </w:r>
      <w:r>
        <w:rPr>
          <w:rFonts w:eastAsia="Times-Roman"/>
        </w:rPr>
        <w:instrText xml:space="preserve"> ADDIN EN.CITE &lt;EndNote&gt;&lt;Cite&gt;&lt;Author&gt;ICRP&lt;/Author&gt;&lt;Year&gt;1995&lt;/Year&gt;&lt;RecNum&gt;2961&lt;/RecNum&gt;&lt;DisplayText&gt;(ICRP, 1995)&lt;/DisplayText&gt;&lt;record&gt;&lt;rec-number&gt;2961&lt;/rec-number&gt;&lt;foreign-keys&gt;&lt;key app="EN" db-id="rss5s0wzrpx9pwe5a0h5a9wkx9sf2zexde9d" timestamp="0"&gt;2961&lt;/key&gt;&lt;/foreign-keys&gt;&lt;ref-type name="Report"&gt;27&lt;/ref-type&gt;&lt;contributors&gt;&lt;authors&gt;&lt;author&gt;ICRP,&lt;/author&gt;&lt;/authors&gt;&lt;/contributors&gt;&lt;titles&gt;&lt;title&gt;Basic anatomical and physiological data for use in radiological protection: the skeleton&lt;/title&gt;&lt;secondary-title&gt;ICRP Publication 70&lt;/secondary-title&gt;&lt;/titles&gt;&lt;dates&gt;&lt;year&gt;1995&lt;/year&gt;&lt;/dates&gt;&lt;pub-location&gt;Oxford, UK&lt;/pub-location&gt;&lt;publisher&gt;Pergamon Press&lt;/publisher&gt;&lt;orig-pub&gt;Ann. ICRP 25(2)&lt;/orig-pub&gt;&lt;isbn&gt;70&lt;/isbn&gt;&lt;work-type&gt;ICRP Publication&lt;/work-type&gt;&lt;urls&gt;&lt;/urls&gt;&lt;/record&gt;&lt;/Cite&gt;&lt;/EndNote&gt;</w:instrText>
      </w:r>
      <w:r>
        <w:rPr>
          <w:rFonts w:eastAsia="Times-Roman"/>
        </w:rPr>
        <w:fldChar w:fldCharType="separate"/>
      </w:r>
      <w:r>
        <w:rPr>
          <w:rFonts w:eastAsia="Times-Roman"/>
          <w:noProof/>
        </w:rPr>
        <w:t>(ICRP, 1995)</w:t>
      </w:r>
      <w:r>
        <w:rPr>
          <w:rFonts w:eastAsia="Times-Roman"/>
        </w:rPr>
        <w:fldChar w:fldCharType="end"/>
      </w:r>
      <w:r>
        <w:rPr>
          <w:rFonts w:eastAsia="Times-Roman"/>
        </w:rPr>
        <w:t xml:space="preserve"> and coefficients for a real patient may differ. Petoussi-Henss et al. </w:t>
      </w:r>
      <w:r>
        <w:rPr>
          <w:rFonts w:eastAsia="Times-Roman"/>
        </w:rPr>
        <w:fldChar w:fldCharType="begin"/>
      </w:r>
      <w:r>
        <w:rPr>
          <w:rFonts w:eastAsia="Times-Roman"/>
        </w:rPr>
        <w:instrText xml:space="preserve"> ADDIN EN.CITE &lt;EndNote&gt;&lt;Cite&gt;&lt;Author&gt;Petoussi-Henss&lt;/Author&gt;&lt;Year&gt;2005&lt;/Year&gt;&lt;RecNum&gt;3466&lt;/RecNum&gt;&lt;DisplayText&gt;(Petoussi-Henss et al., 2005; Petoussi-Henss et al., 2006)&lt;/DisplayText&gt;&lt;record&gt;&lt;rec-number&gt;3466&lt;/rec-number&gt;&lt;foreign-keys&gt;&lt;key app="EN" db-id="rss5s0wzrpx9pwe5a0h5a9wkx9sf2zexde9d" timestamp="0"&gt;3466&lt;/key&gt;&lt;/foreign-keys&gt;&lt;ref-type name="Journal Article"&gt;17&lt;/ref-type&gt;&lt;contributors&gt;&lt;authors&gt;&lt;author&gt;Petoussi-Henss, N.&lt;/author&gt;&lt;author&gt;Zankl, M.&lt;/author&gt;&lt;author&gt;Panzer, W.&lt;/author&gt;&lt;/authors&gt;&lt;/contributors&gt;&lt;titles&gt;&lt;title&gt;Estimation of organ doses in radiology using voxel models describing different patients&lt;/title&gt;&lt;secondary-title&gt;Biomedizinische Technik&lt;/secondary-title&gt;&lt;/titles&gt;&lt;periodical&gt;&lt;full-title&gt;Biomedizinische Technik&lt;/full-title&gt;&lt;abbr-1&gt;Biomed. Tech. (Berl).&lt;/abbr-1&gt;&lt;abbr-2&gt;Biomed Tech (Berl)&lt;/abbr-2&gt;&lt;/periodical&gt;&lt;pages&gt;664-665&lt;/pages&gt;&lt;volume&gt;50&lt;/volume&gt;&lt;number&gt;Supplementary Vol. 1&lt;/number&gt;&lt;dates&gt;&lt;year&gt;2005&lt;/year&gt;&lt;/dates&gt;&lt;urls&gt;&lt;/urls&gt;&lt;/record&gt;&lt;/Cite&gt;&lt;Cite&gt;&lt;Author&gt;Petoussi-Henss&lt;/Author&gt;&lt;Year&gt;2006&lt;/Year&gt;&lt;RecNum&gt;12492&lt;/RecNum&gt;&lt;record&gt;&lt;rec-number&gt;12492&lt;/rec-number&gt;&lt;foreign-keys&gt;&lt;key app="EN" db-id="rss5s0wzrpx9pwe5a0h5a9wkx9sf2zexde9d" timestamp="1696609172"&gt;12492&lt;/key&gt;&lt;/foreign-keys&gt;&lt;ref-type name="Conference Proceedings"&gt;10&lt;/ref-type&gt;&lt;contributors&gt;&lt;authors&gt;&lt;author&gt;Petoussi-Henss, N.&lt;/author&gt;&lt;author&gt;Zankl, M.&lt;/author&gt;&lt;author&gt;Schlattl, H. &lt;/author&gt;&lt;author&gt;Becker, J. &lt;/author&gt;&lt;author&gt;Hoeschen, C.&lt;/author&gt;&lt;/authors&gt;&lt;secondary-authors&gt;&lt;author&gt;Bogner, L.&lt;/author&gt;&lt;author&gt;Dobler, B. &lt;/author&gt;&lt;/secondary-authors&gt;&lt;/contributors&gt;&lt;titles&gt;&lt;title&gt;Organdosiskonversionsfaktoren für röntgendiagnostische&amp;#xD;Untersuchungen anhand von Monte-Carlo-Simulationen&lt;/title&gt;&lt;secondary-title&gt;37. Jahrestagung der Deutschen Gesellschaft für Medizinische Physik e.V&lt;/secondary-title&gt;&lt;/titles&gt;&lt;volume&gt;1&lt;/volume&gt;&lt;dates&gt;&lt;year&gt;2006&lt;/year&gt;&lt;/dates&gt;&lt;pub-location&gt;Regensburg&lt;/pub-location&gt;&lt;publisher&gt;DGMP &lt;/publisher&gt;&lt;isbn&gt;3-925218-87-4&lt;/isbn&gt;&lt;urls&gt;&lt;/urls&gt;&lt;/record&gt;&lt;/Cite&gt;&lt;/EndNote&gt;</w:instrText>
      </w:r>
      <w:r>
        <w:rPr>
          <w:rFonts w:eastAsia="Times-Roman"/>
        </w:rPr>
        <w:fldChar w:fldCharType="separate"/>
      </w:r>
      <w:r>
        <w:rPr>
          <w:rFonts w:eastAsia="Times-Roman"/>
          <w:noProof/>
        </w:rPr>
        <w:t>(Petoussi-Henss et al., 2005; Petoussi-Henss et al., 2006)</w:t>
      </w:r>
      <w:r>
        <w:rPr>
          <w:rFonts w:eastAsia="Times-Roman"/>
        </w:rPr>
        <w:fldChar w:fldCharType="end"/>
      </w:r>
      <w:r>
        <w:rPr>
          <w:rFonts w:eastAsia="Times-Roman"/>
        </w:rPr>
        <w:t xml:space="preserve"> investigated the effect of body size and anatomy by simulating various radiographic examinations and employing, besides the two ICRP adult reference phantoms, four non-reference voxel phantoms constructed from image data of real individuals. In these studies, individual setting parameters (radiation quality, field size, focus-image receiver and focus-skin distance) were varied to examine their effect on the organ doses. In general, it was shown that the use of different individual voxel phantoms leads in some cases to differences in organ dose coefficients of up to a factor of 3. </w:t>
      </w:r>
      <w:r>
        <w:rPr>
          <w:rStyle w:val="normaltextrun"/>
          <w:szCs w:val="24"/>
        </w:rPr>
        <w:t>These differences were attributed to the anatomical differences between individuals and therefore to different amount of shielding of organs, depending both on the phantom size and the topology of the organs.</w:t>
      </w:r>
      <w:r>
        <w:rPr>
          <w:rFonts w:eastAsia="Times-Roman"/>
        </w:rPr>
        <w:t xml:space="preserve"> </w:t>
      </w:r>
      <w:r>
        <w:t>For those organs that lie entirely in the primary beam, it is also generally true that the dose coefficients per fluence or per air kerma decrease with increasing patient diameter. This trend is also observed for the age-dependent dose coefficients of this publication.</w:t>
      </w:r>
    </w:p>
    <w:p w14:paraId="6799D676" w14:textId="77777777" w:rsidR="00E72CA9" w:rsidRDefault="00D516E3">
      <w:pPr>
        <w:pStyle w:val="ICRPnumberedparagraph"/>
        <w:ind w:left="0"/>
      </w:pPr>
      <w:r>
        <w:rPr>
          <w:rStyle w:val="normaltextrun"/>
          <w:szCs w:val="24"/>
        </w:rPr>
        <w:t>In the same work, organ doses were found to be dependent on the exposure conditions; in general, as field size increases, organ dose coefficients per incident air kerma also increase</w:t>
      </w:r>
      <w:r>
        <w:t xml:space="preserve">. While this effect is small for organs that lie entirely in the field, it is most pronounced for organs that lie only partially in the primary beam or outside the field but close to its edge.  </w:t>
      </w:r>
    </w:p>
    <w:p w14:paraId="13C55CE3" w14:textId="77777777" w:rsidR="00E72CA9" w:rsidRDefault="00D516E3">
      <w:pPr>
        <w:pStyle w:val="ICRPnumberedparagraph"/>
        <w:ind w:left="0"/>
        <w:rPr>
          <w:szCs w:val="24"/>
        </w:rPr>
      </w:pPr>
      <w:r>
        <w:rPr>
          <w:snapToGrid w:val="0"/>
        </w:rPr>
        <w:t xml:space="preserve">Previous comparisons of coefficients calculated at different institutes showed that differences are small, i.e. within the statistical errors and generally less than 10% when the exposure conditions and computational phantoms of patients are similar. Larger differences occur due to differences in the computational phantoms simulating the patient, for example, due to the use of MIRD or voxel type phantoms </w:t>
      </w:r>
      <w:r>
        <w:rPr>
          <w:snapToGrid w:val="0"/>
        </w:rPr>
        <w:fldChar w:fldCharType="begin"/>
      </w:r>
      <w:r>
        <w:rPr>
          <w:snapToGrid w:val="0"/>
        </w:rPr>
        <w:instrText xml:space="preserve"> ADDIN EN.CITE &lt;EndNote&gt;&lt;Cite&gt;&lt;Author&gt;ICRU&lt;/Author&gt;&lt;Year&gt;2005&lt;/Year&gt;&lt;RecNum&gt;12469&lt;/RecNum&gt;&lt;DisplayText&gt;(ICRU, 2005)&lt;/DisplayText&gt;&lt;record&gt;&lt;rec-number&gt;12469&lt;/rec-number&gt;&lt;foreign-keys&gt;&lt;key app="EN" db-id="rss5s0wzrpx9pwe5a0h5a9wkx9sf2zexde9d" timestamp="1686053795"&gt;12469&lt;/key&gt;&lt;/foreign-keys&gt;&lt;ref-type name="Journal Article"&gt;17&lt;/ref-type&gt;&lt;contributors&gt;&lt;authors&gt;&lt;author&gt;ICRU&lt;/author&gt;&lt;/authors&gt;&lt;/contributors&gt;&lt;titles&gt;&lt;title&gt;Patient dosimetry for x rays used in medical imaging. ICRU Report 74&lt;/title&gt;&lt;secondary-title&gt;J ICRU&lt;/secondary-title&gt;&lt;/titles&gt;&lt;periodical&gt;&lt;full-title&gt;J icru&lt;/full-title&gt;&lt;/periodical&gt;&lt;volume&gt;5&lt;/volume&gt;&lt;number&gt;2&lt;/number&gt;&lt;dates&gt;&lt;year&gt;2005&lt;/year&gt;&lt;pub-dates&gt;&lt;date&gt;Dec&lt;/date&gt;&lt;/pub-dates&gt;&lt;/dates&gt;&lt;isbn&gt;1473-6691 (Print)&amp;#xD;1473-6691&lt;/isbn&gt;&lt;accession-num&gt;24170883&lt;/accession-num&gt;&lt;urls&gt;&lt;/urls&gt;&lt;electronic-resource-num&gt;10.1093/jicru/ndi016&lt;/electronic-resource-num&gt;&lt;remote-database-provider&gt;NLM&lt;/remote-database-provider&gt;&lt;language&gt;eng&lt;/language&gt;&lt;/record&gt;&lt;/Cite&gt;&lt;/EndNote&gt;</w:instrText>
      </w:r>
      <w:r>
        <w:rPr>
          <w:snapToGrid w:val="0"/>
        </w:rPr>
        <w:fldChar w:fldCharType="separate"/>
      </w:r>
      <w:r>
        <w:rPr>
          <w:noProof/>
          <w:snapToGrid w:val="0"/>
        </w:rPr>
        <w:t>(ICRU, 2005)</w:t>
      </w:r>
      <w:r>
        <w:rPr>
          <w:snapToGrid w:val="0"/>
        </w:rPr>
        <w:fldChar w:fldCharType="end"/>
      </w:r>
      <w:r>
        <w:rPr>
          <w:snapToGrid w:val="0"/>
        </w:rPr>
        <w:t xml:space="preserve">. Similar conclusions can be drawn from comparisons of measured and calculated organ dose coefficients. Larger errors, i.e. well in excess of 10% occur for coefficients concerning organs far away from the primary beam. This is not a practical problem since their contribution to the radiation risk is much less than that of organs receiving the highest doses </w:t>
      </w:r>
      <w:r>
        <w:rPr>
          <w:snapToGrid w:val="0"/>
        </w:rPr>
        <w:fldChar w:fldCharType="begin"/>
      </w:r>
      <w:r>
        <w:rPr>
          <w:snapToGrid w:val="0"/>
        </w:rPr>
        <w:instrText xml:space="preserve"> ADDIN EN.CITE &lt;EndNote&gt;&lt;Cite&gt;&lt;Author&gt;ICRU&lt;/Author&gt;&lt;Year&gt;2005&lt;/Year&gt;&lt;RecNum&gt;12469&lt;/RecNum&gt;&lt;DisplayText&gt;(ICRU, 2005)&lt;/DisplayText&gt;&lt;record&gt;&lt;rec-number&gt;12469&lt;/rec-number&gt;&lt;foreign-keys&gt;&lt;key app="EN" db-id="rss5s0wzrpx9pwe5a0h5a9wkx9sf2zexde9d" timestamp="1686053795"&gt;12469&lt;/key&gt;&lt;/foreign-keys&gt;&lt;ref-type name="Journal Article"&gt;17&lt;/ref-type&gt;&lt;contributors&gt;&lt;authors&gt;&lt;author&gt;ICRU&lt;/author&gt;&lt;/authors&gt;&lt;/contributors&gt;&lt;titles&gt;&lt;title&gt;Patient dosimetry for x rays used in medical imaging. ICRU Report 74&lt;/title&gt;&lt;secondary-title&gt;J ICRU&lt;/secondary-title&gt;&lt;/titles&gt;&lt;periodical&gt;&lt;full-title&gt;J icru&lt;/full-title&gt;&lt;/periodical&gt;&lt;volume&gt;5&lt;/volume&gt;&lt;number&gt;2&lt;/number&gt;&lt;dates&gt;&lt;year&gt;2005&lt;/year&gt;&lt;pub-dates&gt;&lt;date&gt;Dec&lt;/date&gt;&lt;/pub-dates&gt;&lt;/dates&gt;&lt;isbn&gt;1473-6691 (Print)&amp;#xD;1473-6691&lt;/isbn&gt;&lt;accession-num&gt;24170883&lt;/accession-num&gt;&lt;urls&gt;&lt;/urls&gt;&lt;electronic-resource-num&gt;10.1093/jicru/ndi016&lt;/electronic-resource-num&gt;&lt;remote-database-provider&gt;NLM&lt;/remote-database-provider&gt;&lt;language&gt;eng&lt;/language&gt;&lt;/record&gt;&lt;/Cite&gt;&lt;/EndNote&gt;</w:instrText>
      </w:r>
      <w:r>
        <w:rPr>
          <w:snapToGrid w:val="0"/>
        </w:rPr>
        <w:fldChar w:fldCharType="separate"/>
      </w:r>
      <w:r>
        <w:rPr>
          <w:noProof/>
          <w:snapToGrid w:val="0"/>
        </w:rPr>
        <w:t>(ICRU, 2005)</w:t>
      </w:r>
      <w:r>
        <w:rPr>
          <w:snapToGrid w:val="0"/>
        </w:rPr>
        <w:fldChar w:fldCharType="end"/>
      </w:r>
      <w:r>
        <w:rPr>
          <w:snapToGrid w:val="0"/>
        </w:rPr>
        <w:t>.</w:t>
      </w:r>
    </w:p>
    <w:p w14:paraId="15893926" w14:textId="77777777" w:rsidR="00E72CA9" w:rsidRDefault="00D516E3">
      <w:pPr>
        <w:pStyle w:val="ICRPnumberedparagraph"/>
        <w:ind w:left="0"/>
        <w:rPr>
          <w:rFonts w:eastAsia="Times New Roman"/>
          <w:szCs w:val="24"/>
          <w:lang w:val="en-US" w:eastAsia="en-US"/>
        </w:rPr>
      </w:pPr>
      <w:r>
        <w:rPr>
          <w:rFonts w:eastAsia="Times New Roman"/>
          <w:szCs w:val="24"/>
          <w:lang w:val="en-US" w:eastAsia="en-US"/>
        </w:rPr>
        <w:t xml:space="preserve">The ICRP reference phantoms are based on specific individuals and, although they have reference masses as per </w:t>
      </w:r>
      <w:r>
        <w:rPr>
          <w:rFonts w:eastAsia="Times New Roman"/>
          <w:i/>
          <w:szCs w:val="24"/>
          <w:lang w:val="en-US" w:eastAsia="en-US"/>
        </w:rPr>
        <w:t>Publication 89</w:t>
      </w:r>
      <w:r>
        <w:rPr>
          <w:rFonts w:eastAsia="Times New Roman"/>
          <w:szCs w:val="24"/>
          <w:lang w:val="en-US" w:eastAsia="en-US"/>
        </w:rPr>
        <w:t xml:space="preserve"> </w:t>
      </w:r>
      <w:r>
        <w:rPr>
          <w:rFonts w:eastAsia="Times New Roman"/>
          <w:szCs w:val="24"/>
          <w:lang w:val="en-US" w:eastAsia="en-US"/>
        </w:rPr>
        <w:fldChar w:fldCharType="begin"/>
      </w:r>
      <w:r>
        <w:rPr>
          <w:rFonts w:eastAsia="Times New Roman"/>
          <w:szCs w:val="24"/>
          <w:lang w:val="en-US" w:eastAsia="en-US"/>
        </w:rPr>
        <w:instrText xml:space="preserve"> ADDIN EN.CITE &lt;EndNote&gt;&lt;Cite&gt;&lt;Author&gt;ICRP&lt;/Author&gt;&lt;Year&gt;2002&lt;/Year&gt;&lt;RecNum&gt;10616&lt;/RecNum&gt;&lt;DisplayText&gt;(ICRP, 2002)&lt;/DisplayText&gt;&lt;record&gt;&lt;rec-number&gt;10616&lt;/rec-number&gt;&lt;foreign-keys&gt;&lt;key app="EN" db-id="rss5s0wzrpx9pwe5a0h5a9wkx9sf2zexde9d" timestamp="1521451068"&gt;10616&lt;/key&gt;&lt;/foreign-keys&gt;&lt;ref-type name="Journal Article"&gt;17&lt;/ref-type&gt;&lt;contributors&gt;&lt;authors&gt;&lt;author&gt;ICRP,&lt;/author&gt;&lt;/authors&gt;&lt;/contributors&gt;&lt;titles&gt;&lt;title&gt;Basic anatomical and physiological data for use in radiological protection: reference values. ICRP publication 89&lt;/title&gt;&lt;secondary-title&gt;Annals of the ICRP&lt;/secondary-title&gt;&lt;/titles&gt;&lt;periodical&gt;&lt;full-title&gt;Annals of the ICRP&lt;/full-title&gt;&lt;abbr-1&gt;Ann. ICRP&lt;/abbr-1&gt;&lt;abbr-2&gt;Ann ICRP&lt;/abbr-2&gt;&lt;/periodical&gt;&lt;pages&gt;5&lt;/pages&gt;&lt;volume&gt;32&lt;/volume&gt;&lt;dates&gt;&lt;year&gt;2002&lt;/year&gt;&lt;/dates&gt;&lt;isbn&gt;0146-6453&lt;/isbn&gt;&lt;urls&gt;&lt;related-urls&gt;&lt;url&gt;http://dx.doi.org/10.1016/S0146-6453(02)00021-0&lt;/url&gt;&lt;/related-urls&gt;&lt;/urls&gt;&lt;/record&gt;&lt;/Cite&gt;&lt;/EndNote&gt;</w:instrText>
      </w:r>
      <w:r>
        <w:rPr>
          <w:rFonts w:eastAsia="Times New Roman"/>
          <w:szCs w:val="24"/>
          <w:lang w:val="en-US" w:eastAsia="en-US"/>
        </w:rPr>
        <w:fldChar w:fldCharType="separate"/>
      </w:r>
      <w:r>
        <w:rPr>
          <w:rFonts w:eastAsia="Times New Roman"/>
          <w:noProof/>
          <w:szCs w:val="24"/>
          <w:lang w:val="en-US" w:eastAsia="en-US"/>
        </w:rPr>
        <w:t>(ICRP, 2002)</w:t>
      </w:r>
      <w:r>
        <w:rPr>
          <w:rFonts w:eastAsia="Times New Roman"/>
          <w:szCs w:val="24"/>
          <w:lang w:val="en-US" w:eastAsia="en-US"/>
        </w:rPr>
        <w:fldChar w:fldCharType="end"/>
      </w:r>
      <w:r>
        <w:rPr>
          <w:rFonts w:eastAsia="Times New Roman"/>
          <w:szCs w:val="24"/>
          <w:lang w:val="en-US" w:eastAsia="en-US"/>
        </w:rPr>
        <w:t xml:space="preserve">, the organs have not a ‘reference’ position, since these are based on the anatomy of the individual whose image data were used for the construction of the phantom. Studies have shown that the position of the organs in relation to the field, for example, of the colon in examinations of the abdomen where some parts may lie inside or outside the x-ray field, could result in different values of the colon dose. A study which employed a library of different size of (non-reference) phantoms, based on the scaling of a limited number of size-adjusted individuals, revealed significant differences of the colon dose </w:t>
      </w:r>
      <w:r>
        <w:rPr>
          <w:rFonts w:eastAsia="Times New Roman"/>
          <w:szCs w:val="24"/>
          <w:lang w:val="en-US" w:eastAsia="en-US"/>
        </w:rPr>
        <w:fldChar w:fldCharType="begin"/>
      </w:r>
      <w:r>
        <w:rPr>
          <w:rFonts w:eastAsia="Times New Roman"/>
          <w:szCs w:val="24"/>
          <w:lang w:val="en-US" w:eastAsia="en-US"/>
        </w:rPr>
        <w:instrText xml:space="preserve"> ADDIN EN.CITE &lt;EndNote&gt;&lt;Cite&gt;&lt;Author&gt;Martin&lt;/Author&gt;&lt;Year&gt;2021&lt;/Year&gt;&lt;RecNum&gt;12511&lt;/RecNum&gt;&lt;DisplayText&gt;(Martin et al., 2021)&lt;/DisplayText&gt;&lt;record&gt;&lt;rec-number&gt;12511&lt;/rec-number&gt;&lt;foreign-keys&gt;&lt;key app="EN" db-id="rss5s0wzrpx9pwe5a0h5a9wkx9sf2zexde9d" timestamp="1707215475"&gt;12511&lt;/key&gt;&lt;/foreign-keys&gt;&lt;ref-type name="Journal Article"&gt;17&lt;/ref-type&gt;&lt;contributors&gt;&lt;authors&gt;&lt;author&gt;Martin, C. J.&lt;/author&gt;&lt;author&gt;Abuhaimed, A.&lt;/author&gt;&lt;author&gt;Lee, C.&lt;/author&gt;&lt;/authors&gt;&lt;/contributors&gt;&lt;auth-address&gt;Department of Clinical Physics and Bioengineering, University of Glasgow, Gartnavel Royal Hospital, Glasgow G12 0XH, United Kingdom.&amp;#xD;King Abdulaziz City for Science and Technology (KACST), Riyadh, Saudi Arabia.&amp;#xD;Division of Cancer Epidemiology and Genetics, National Cancer Institute, National Institutes of Health, Rockville, MD, United States of America.&lt;/auth-address&gt;&lt;titles&gt;&lt;title&gt;Dose quantities for measurement and comparison of doses to individual patients in computed tomography (CT)&lt;/title&gt;&lt;secondary-title&gt;J Radiol Prot&lt;/secondary-title&gt;&lt;/titles&gt;&lt;periodical&gt;&lt;full-title&gt;Journal of Radiological Protection&lt;/full-title&gt;&lt;abbr-1&gt;J. Radiol. Prot.&lt;/abbr-1&gt;&lt;abbr-2&gt;J Radiol Prot&lt;/abbr-2&gt;&lt;/periodical&gt;&lt;volume&gt;41&lt;/volume&gt;&lt;number&gt;4&lt;/number&gt;&lt;edition&gt;20211103&lt;/edition&gt;&lt;keywords&gt;&lt;keyword&gt;Adult&lt;/keyword&gt;&lt;keyword&gt;Humans&lt;/keyword&gt;&lt;keyword&gt;Monte Carlo Method&lt;/keyword&gt;&lt;keyword&gt;Phantoms, Imaging&lt;/keyword&gt;&lt;keyword&gt;Radiation Dosage&lt;/keyword&gt;&lt;keyword&gt;*Radiometry&lt;/keyword&gt;&lt;keyword&gt;*Tomography, X-Ray Computed&lt;/keyword&gt;&lt;keyword&gt;CT dosimetry&lt;/keyword&gt;&lt;keyword&gt;effective dose&lt;/keyword&gt;&lt;keyword&gt;patient dosimetry&lt;/keyword&gt;&lt;keyword&gt;size specific dose estimate (SSDE)&lt;/keyword&gt;&lt;keyword&gt;size specific effective dose (SED)&lt;/keyword&gt;&lt;/keywords&gt;&lt;dates&gt;&lt;year&gt;2021&lt;/year&gt;&lt;pub-dates&gt;&lt;date&gt;Nov 3&lt;/date&gt;&lt;/pub-dates&gt;&lt;/dates&gt;&lt;isbn&gt;0952-4746&lt;/isbn&gt;&lt;accession-num&gt;33690180&lt;/accession-num&gt;&lt;urls&gt;&lt;/urls&gt;&lt;electronic-resource-num&gt;10.1088/1361-6498/abecf5&lt;/electronic-resource-num&gt;&lt;remote-database-provider&gt;NLM&lt;/remote-database-provider&gt;&lt;language&gt;eng&lt;/language&gt;&lt;/record&gt;&lt;/Cite&gt;&lt;/EndNote&gt;</w:instrText>
      </w:r>
      <w:r>
        <w:rPr>
          <w:rFonts w:eastAsia="Times New Roman"/>
          <w:szCs w:val="24"/>
          <w:lang w:val="en-US" w:eastAsia="en-US"/>
        </w:rPr>
        <w:fldChar w:fldCharType="separate"/>
      </w:r>
      <w:r>
        <w:rPr>
          <w:rFonts w:eastAsia="Times New Roman"/>
          <w:noProof/>
          <w:szCs w:val="24"/>
          <w:lang w:val="en-US" w:eastAsia="en-US"/>
        </w:rPr>
        <w:t>(Martin et al., 2021)</w:t>
      </w:r>
      <w:r>
        <w:rPr>
          <w:rFonts w:eastAsia="Times New Roman"/>
          <w:szCs w:val="24"/>
          <w:lang w:val="en-US" w:eastAsia="en-US"/>
        </w:rPr>
        <w:fldChar w:fldCharType="end"/>
      </w:r>
      <w:r>
        <w:rPr>
          <w:rFonts w:eastAsia="Times New Roman"/>
          <w:szCs w:val="24"/>
          <w:lang w:val="en-US" w:eastAsia="en-US"/>
        </w:rPr>
        <w:t xml:space="preserve">. </w:t>
      </w:r>
    </w:p>
    <w:p w14:paraId="4C62219F" w14:textId="77777777" w:rsidR="00E72CA9" w:rsidRDefault="00D516E3">
      <w:pPr>
        <w:pStyle w:val="ICRPnumberedparagraph"/>
        <w:ind w:left="0"/>
      </w:pPr>
      <w:r>
        <w:rPr>
          <w:rFonts w:eastAsia="Times New Roman"/>
          <w:szCs w:val="24"/>
          <w:lang w:val="en-US" w:eastAsia="en-US"/>
        </w:rPr>
        <w:t xml:space="preserve"> It should be noted that variations in doses to small organs that are considered sensitive to radiation can have a significant effect on the calculation of effective dose.  Such organs can </w:t>
      </w:r>
      <w:r>
        <w:rPr>
          <w:rFonts w:eastAsia="Times New Roman"/>
          <w:szCs w:val="24"/>
          <w:lang w:val="en-US" w:eastAsia="en-US"/>
        </w:rPr>
        <w:lastRenderedPageBreak/>
        <w:t>lie close to the edge of the field of an examination, examples being the case of the thyroid for chest examinations or the testes for examinations of the pelvis. In such cases, where positioning on the actual patient is not optimal (i.e. not representative of good practice), then the uncertainty in the ensuing dose estimate may be considerably larger than reported here.</w:t>
      </w:r>
    </w:p>
    <w:p w14:paraId="6BB0C127" w14:textId="77777777" w:rsidR="00E72CA9" w:rsidRDefault="00D516E3">
      <w:pPr>
        <w:pStyle w:val="2"/>
      </w:pPr>
      <w:bookmarkStart w:id="142" w:name="_Toc158293345"/>
      <w:bookmarkStart w:id="143" w:name="_Toc158293665"/>
      <w:bookmarkStart w:id="144" w:name="_Toc165302051"/>
      <w:r>
        <w:t>Uncertainties of dose coefficients calculated with Monte Carlo methods</w:t>
      </w:r>
      <w:bookmarkEnd w:id="142"/>
      <w:bookmarkEnd w:id="143"/>
      <w:bookmarkEnd w:id="144"/>
    </w:p>
    <w:p w14:paraId="76EEE0B0" w14:textId="77777777" w:rsidR="00E72CA9" w:rsidRDefault="00D516E3">
      <w:pPr>
        <w:pStyle w:val="ICRPnumberedparagraph"/>
        <w:ind w:left="0"/>
        <w:rPr>
          <w:noProof/>
        </w:rPr>
      </w:pPr>
      <w:r>
        <w:rPr>
          <w:noProof/>
        </w:rPr>
        <w:t>The coefficients tabulated in this publication were developed using the ICRP methodology</w:t>
      </w:r>
      <w:r>
        <w:rPr>
          <w:i/>
          <w:noProof/>
        </w:rPr>
        <w:t>,</w:t>
      </w:r>
      <w:r>
        <w:rPr>
          <w:noProof/>
        </w:rPr>
        <w:t xml:space="preserve"> a well defined framework, following documented procedures using reference computational phantoms, critically evaluated, verified for accuracy, and judged by the Commission to serve their intended purpose. The exposure conditions, i.e. field sizes, tube potential, and filtration of the x-ray beam, were selected to represent standard, good radiological practice. Within the scope of their intended use, the coefficients as issued by ICRP as an international authority, are reference data and have as such, no uncertainties, per the guidance of the Joint Committee for Guides in Metrology </w:t>
      </w:r>
      <w:r>
        <w:rPr>
          <w:noProof/>
        </w:rPr>
        <w:fldChar w:fldCharType="begin"/>
      </w:r>
      <w:r>
        <w:rPr>
          <w:noProof/>
        </w:rPr>
        <w:instrText xml:space="preserve"> ADDIN EN.CITE &lt;EndNote&gt;&lt;Cite&gt;&lt;Author&gt;JCGM&lt;/Author&gt;&lt;Year&gt;2008&lt;/Year&gt;&lt;RecNum&gt;12491&lt;/RecNum&gt;&lt;DisplayText&gt;(JCGM, 2008)&lt;/DisplayText&gt;&lt;record&gt;&lt;rec-number&gt;12491&lt;/rec-number&gt;&lt;foreign-keys&gt;&lt;key app="EN" db-id="rss5s0wzrpx9pwe5a0h5a9wkx9sf2zexde9d" timestamp="1696587537"&gt;12491&lt;/key&gt;&lt;/foreign-keys&gt;&lt;ref-type name="Report"&gt;27&lt;/ref-type&gt;&lt;contributors&gt;&lt;authors&gt;&lt;author&gt;JCGM&lt;/author&gt;&lt;/authors&gt;&lt;/contributors&gt;&lt;titles&gt;&lt;title&gt;International Vocabulary of metrology -Basic and general conepts and associated terms (VIM)&lt;/title&gt;&lt;/titles&gt;&lt;dates&gt;&lt;year&gt;2008&lt;/year&gt;&lt;/dates&gt;&lt;pub-location&gt;Sévres&lt;/pub-location&gt;&lt;publisher&gt;Joint Committee for Guides in Metrology&lt;/publisher&gt;&lt;urls&gt;&lt;/urls&gt;&lt;/record&gt;&lt;/Cite&gt;&lt;/EndNote&gt;</w:instrText>
      </w:r>
      <w:r>
        <w:rPr>
          <w:noProof/>
        </w:rPr>
        <w:fldChar w:fldCharType="separate"/>
      </w:r>
      <w:r>
        <w:rPr>
          <w:noProof/>
        </w:rPr>
        <w:t>(JCGM, 2008)</w:t>
      </w:r>
      <w:r>
        <w:rPr>
          <w:noProof/>
        </w:rPr>
        <w:fldChar w:fldCharType="end"/>
      </w:r>
      <w:r>
        <w:rPr>
          <w:noProof/>
        </w:rPr>
        <w:t xml:space="preserve">. </w:t>
      </w:r>
    </w:p>
    <w:p w14:paraId="452EB2F4" w14:textId="77777777" w:rsidR="00E72CA9" w:rsidRDefault="00D516E3">
      <w:pPr>
        <w:pStyle w:val="ICRPnumberedparagraph"/>
        <w:ind w:left="0"/>
      </w:pPr>
      <w:r>
        <w:t>Reference values are fixed and specified with no uncertainty, independent of the fact that the basis of these values may include uncertainties. In the present case, t</w:t>
      </w:r>
      <w:r>
        <w:rPr>
          <w:rFonts w:eastAsia="Times-Roman"/>
        </w:rPr>
        <w:t xml:space="preserve">he accuracy of the dose coefficients provided is limited by uncertainties in the physical input parameters, such as interaction cross sections, and deviations of the particle transport simulation from the real exposure situation, for example, the source geometry and phantom. </w:t>
      </w:r>
    </w:p>
    <w:p w14:paraId="2B940D96" w14:textId="77777777" w:rsidR="00E72CA9" w:rsidRDefault="00D516E3">
      <w:pPr>
        <w:pStyle w:val="ICRPnumberedparagraph"/>
        <w:ind w:left="0"/>
        <w:rPr>
          <w:rFonts w:eastAsia="Times-Roman"/>
        </w:rPr>
      </w:pPr>
      <w:r>
        <w:t xml:space="preserve">The relative statistical uncertainties of the Monte Carlo calculations for organ absorbed dose coefficients depend on several parameters such as organ size, location in the human body, particle energy, and irradiation geometry. </w:t>
      </w:r>
      <w:r>
        <w:rPr>
          <w:rFonts w:eastAsia="Times-Roman"/>
        </w:rPr>
        <w:t>For organs inside the irradiation field organ absorbed doses were determined with relative statistical uncertainties (1 standard deviation) of less than 2% for the adult projections and less than 5% for the paediatric projections (see Sections 4.1.1 and 4.1.2). In contrast, for organs outside the primary beam and for energies below 10 keV, relative statistical uncertainties for small organs can be up to 20% or more, as only a few photons are able to reach such organs.</w:t>
      </w:r>
    </w:p>
    <w:p w14:paraId="69DA1040" w14:textId="77777777" w:rsidR="00E72CA9" w:rsidRDefault="00D516E3">
      <w:pPr>
        <w:pStyle w:val="2"/>
      </w:pPr>
      <w:bookmarkStart w:id="145" w:name="_Toc158293346"/>
      <w:bookmarkStart w:id="146" w:name="_Toc158293666"/>
      <w:bookmarkStart w:id="147" w:name="_Toc165302052"/>
      <w:r>
        <w:t>Uncertainties in dose estimates</w:t>
      </w:r>
      <w:bookmarkEnd w:id="145"/>
      <w:bookmarkEnd w:id="146"/>
      <w:bookmarkEnd w:id="147"/>
    </w:p>
    <w:p w14:paraId="6DAE6281" w14:textId="77777777" w:rsidR="00E72CA9" w:rsidRDefault="00D516E3">
      <w:pPr>
        <w:pStyle w:val="ICRPnumberedparagraph"/>
        <w:ind w:left="0"/>
      </w:pPr>
      <w:r>
        <w:t>One of the largest contributions to the uncertainty in the application of the organ absorbed dose coefficients in any real-world implementation, is the measurement uncertainty of the normalisation quantity, whether it be KAP (</w:t>
      </w:r>
      <w:r>
        <w:rPr>
          <w:i/>
        </w:rPr>
        <w:t>P</w:t>
      </w:r>
      <w:r>
        <w:rPr>
          <w:vertAlign w:val="subscript"/>
        </w:rPr>
        <w:t>KA</w:t>
      </w:r>
      <w:r>
        <w:t xml:space="preserve">) or air kerma </w:t>
      </w:r>
      <w:r>
        <w:rPr>
          <w:szCs w:val="24"/>
        </w:rPr>
        <w:t>free-in-air</w:t>
      </w:r>
      <w:r>
        <w:t xml:space="preserve"> </w:t>
      </w:r>
      <w:r>
        <w:rPr>
          <w:i/>
          <w:iCs/>
        </w:rPr>
        <w:t>K</w:t>
      </w:r>
      <w:r>
        <w:rPr>
          <w:vertAlign w:val="subscript"/>
        </w:rPr>
        <w:t>a</w:t>
      </w:r>
      <w:r>
        <w:t xml:space="preserve">.   </w:t>
      </w:r>
    </w:p>
    <w:p w14:paraId="5605E759" w14:textId="77777777" w:rsidR="00E72CA9" w:rsidRDefault="00D516E3">
      <w:pPr>
        <w:pStyle w:val="ICRPnumberedparagraph"/>
        <w:tabs>
          <w:tab w:val="num" w:pos="928"/>
        </w:tabs>
        <w:ind w:left="0"/>
      </w:pPr>
      <w:r>
        <w:t xml:space="preserve">The influence of uncertainties associated with the physical measurements of dose is quite easily quantified and has been reported widely – examples being Worrall and Sutton </w:t>
      </w:r>
      <w:r>
        <w:fldChar w:fldCharType="begin"/>
      </w:r>
      <w:r>
        <w:instrText xml:space="preserve"> ADDIN EN.CITE &lt;EndNote&gt;&lt;Cite ExcludeAuth="1"&gt;&lt;Author&gt;Worrall&lt;/Author&gt;&lt;Year&gt;2015&lt;/Year&gt;&lt;RecNum&gt;12480&lt;/RecNum&gt;&lt;DisplayText&gt;(2015)&lt;/DisplayText&gt;&lt;record&gt;&lt;rec-number&gt;12480&lt;/rec-number&gt;&lt;foreign-keys&gt;&lt;key app="EN" db-id="rss5s0wzrpx9pwe5a0h5a9wkx9sf2zexde9d" timestamp="1692799229"&gt;12480&lt;/key&gt;&lt;/foreign-keys&gt;&lt;ref-type name="Journal Article"&gt;17&lt;/ref-type&gt;&lt;contributors&gt;&lt;authors&gt;&lt;author&gt;M Worrall &lt;/author&gt;&lt;author&gt;D G Sutton  &lt;/author&gt;&lt;/authors&gt;&lt;/contributors&gt;&lt;titles&gt;&lt;title&gt;Developing a method and deriving an uncertainty budget for the internal calibration of dosemeters for radiographic equipment&lt;/title&gt;&lt;secondary-title&gt;Journal of Radiological Protection&lt;/secondary-title&gt;&lt;/titles&gt;&lt;periodical&gt;&lt;full-title&gt;Journal of Radiological Protection&lt;/full-title&gt;&lt;abbr-1&gt;Journal of Radiological Protection&lt;/abbr-1&gt;&lt;/periodical&gt;&lt;volume&gt;35&lt;/volume&gt;&lt;number&gt;1&lt;/number&gt;&lt;section&gt;209&lt;/section&gt;&lt;dates&gt;&lt;year&gt;2015&lt;/year&gt;&lt;/dates&gt;&lt;urls&gt;&lt;/urls&gt;&lt;electronic-resource-num&gt;10.1088/0952-4746/35/1/209&lt;/electronic-resource-num&gt;&lt;/record&gt;&lt;/Cite&gt;&lt;/EndNote&gt;</w:instrText>
      </w:r>
      <w:r>
        <w:fldChar w:fldCharType="separate"/>
      </w:r>
      <w:r>
        <w:rPr>
          <w:noProof/>
        </w:rPr>
        <w:t>(2015)</w:t>
      </w:r>
      <w:r>
        <w:fldChar w:fldCharType="end"/>
      </w:r>
      <w:r>
        <w:t xml:space="preserve">, Toroi et al. </w:t>
      </w:r>
      <w:r>
        <w:fldChar w:fldCharType="begin">
          <w:fldData xml:space="preserve">PEVuZE5vdGU+PENpdGU+PEF1dGhvcj5Ub3JvaTwvQXV0aG9yPjxZZWFyPjIwMDg8L1llYXI+PFJl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</w:fldData>
        </w:fldChar>
      </w:r>
      <w:r>
        <w:instrText xml:space="preserve"> ADDIN EN.CITE </w:instrText>
      </w:r>
      <w:r>
        <w:fldChar w:fldCharType="begin">
          <w:fldData xml:space="preserve">PEVuZE5vdGU+PENpdGU+PEF1dGhvcj5Ub3JvaTwvQXV0aG9yPjxZZWFyPjIwMDg8L1llYXI+PFJl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</w:fldData>
        </w:fldChar>
      </w:r>
      <w:r>
        <w:instrText xml:space="preserve"> ADDIN EN.CITE.DATA </w:instrText>
      </w:r>
      <w:r>
        <w:fldChar w:fldCharType="end"/>
      </w:r>
      <w:r>
        <w:fldChar w:fldCharType="separate"/>
      </w:r>
      <w:r>
        <w:rPr>
          <w:noProof/>
        </w:rPr>
        <w:t>(Toroi et al., 2008a; Toroi et al., 2008b)</w:t>
      </w:r>
      <w:r>
        <w:fldChar w:fldCharType="end"/>
      </w:r>
      <w:r>
        <w:t xml:space="preserve">, Hourdakis et al. </w:t>
      </w:r>
      <w:r>
        <w:fldChar w:fldCharType="begin"/>
      </w:r>
      <w:r>
        <w:instrText xml:space="preserve"> ADDIN EN.CITE &lt;EndNote&gt;&lt;Cite ExcludeAuth="1"&gt;&lt;Author&gt;Hourdakis&lt;/Author&gt;&lt;Year&gt;2010&lt;/Year&gt;&lt;RecNum&gt;12477&lt;/RecNum&gt;&lt;DisplayText&gt;(2010)&lt;/DisplayText&gt;&lt;record&gt;&lt;rec-number&gt;12477&lt;/rec-number&gt;&lt;foreign-keys&gt;&lt;key app="EN" db-id="rss5s0wzrpx9pwe5a0h5a9wkx9sf2zexde9d" timestamp="1692798529"&gt;12477&lt;/key&gt;&lt;/foreign-keys&gt;&lt;ref-type name="Journal Article"&gt;17&lt;/ref-type&gt;&lt;contributors&gt;&lt;authors&gt;&lt;author&gt;Hourdakis, Costantine John&lt;/author&gt;&lt;author&gt;Boziari, Argyro&lt;/author&gt;&lt;author&gt;Manetou, Aggeliki&lt;/author&gt;&lt;/authors&gt;&lt;/contributors&gt;&lt;titles&gt;&lt;title&gt;PERFORMANCE EVALUATION OF DIAGNOSTIC RADIOLOGY DOSIMETERS IN CLINICAL AND CALIBRATION X-RAY BEAMS&lt;/title&gt;&lt;secondary-title&gt;Health Physics&lt;/secondary-title&gt;&lt;/titles&gt;&lt;periodical&gt;&lt;full-title&gt;Health Physics&lt;/full-title&gt;&lt;abbr-1&gt;Health Phys.&lt;/abbr-1&gt;&lt;abbr-2&gt;Health Phys&lt;/abbr-2&gt;&lt;/periodical&gt;&lt;pages&gt;704-716&lt;/pages&gt;&lt;volume&gt;98&lt;/volume&gt;&lt;number&gt;5&lt;/number&gt;&lt;keywords&gt;&lt;keyword&gt;calibration&lt;/keyword&gt;&lt;keyword&gt;dosimetry&lt;/keyword&gt;&lt;keyword&gt;detector, radiation&lt;/keyword&gt;&lt;keyword&gt;ionization chambers&lt;/keyword&gt;&lt;/keywords&gt;&lt;dates&gt;&lt;year&gt;2010&lt;/year&gt;&lt;/dates&gt;&lt;isbn&gt;0017-9078&lt;/isbn&gt;&lt;accession-num&gt;00004032-201005000-00005&lt;/accession-num&gt;&lt;urls&gt;&lt;related-urls&gt;&lt;url&gt;https://journals.lww.com/health-physics/fulltext/2010/05000/performance_evaluation_of_diagnostic_radiology.5.aspx&lt;/url&gt;&lt;/related-urls&gt;&lt;/urls&gt;&lt;electronic-resource-num&gt;10.1097/HP.0b013e3181d18d45&lt;/electronic-resource-num&gt;&lt;/record&gt;&lt;/Cite&gt;&lt;/EndNote&gt;</w:instrText>
      </w:r>
      <w:r>
        <w:fldChar w:fldCharType="separate"/>
      </w:r>
      <w:r>
        <w:rPr>
          <w:noProof/>
        </w:rPr>
        <w:t>(2010)</w:t>
      </w:r>
      <w:r>
        <w:fldChar w:fldCharType="end"/>
      </w:r>
      <w:r>
        <w:t xml:space="preserve">, the International Atomic Energy Agency (IAEA) </w:t>
      </w:r>
      <w:r>
        <w:fldChar w:fldCharType="begin"/>
      </w:r>
      <w:r>
        <w:instrText xml:space="preserve"> ADDIN EN.CITE &lt;EndNote&gt;&lt;Cite&gt;&lt;Author&gt;IAEA&lt;/Author&gt;&lt;Year&gt;2007&lt;/Year&gt;&lt;RecNum&gt;12482&lt;/RecNum&gt;&lt;DisplayText&gt;(IAEA, 2007)&lt;/DisplayText&gt;&lt;record&gt;&lt;rec-number&gt;12482&lt;/rec-number&gt;&lt;foreign-keys&gt;&lt;key app="EN" db-id="rss5s0wzrpx9pwe5a0h5a9wkx9sf2zexde9d" timestamp="1692799546"&gt;12482&lt;/key&gt;&lt;/foreign-keys&gt;&lt;ref-type name="Report"&gt;27&lt;/ref-type&gt;&lt;contributors&gt;&lt;authors&gt;&lt;author&gt;IAEA, TRS&lt;/author&gt;&lt;/authors&gt;&lt;/contributors&gt;&lt;titles&gt;&lt;title&gt;457 2007 Dosimetry in diagnostic radiology: An international code of practice ISSN 0074-1914&lt;/title&gt;&lt;/titles&gt;&lt;dates&gt;&lt;year&gt;2007&lt;/year&gt;&lt;/dates&gt;&lt;publisher&gt;Technical Reports Series no&lt;/publisher&gt;&lt;urls&gt;&lt;/urls&gt;&lt;/record&gt;&lt;/Cite&gt;&lt;Cite&gt;&lt;Author&gt;IAEA&lt;/Author&gt;&lt;Year&gt;2007&lt;/Year&gt;&lt;RecNum&gt;12482&lt;/RecNum&gt;&lt;record&gt;&lt;rec-number&gt;12482&lt;/rec-number&gt;&lt;foreign-keys&gt;&lt;key app="EN" db-id="rss5s0wzrpx9pwe5a0h5a9wkx9sf2zexde9d" timestamp="1692799546"&gt;12482&lt;/key&gt;&lt;/foreign-keys&gt;&lt;ref-type name="Report"&gt;27&lt;/ref-type&gt;&lt;contributors&gt;&lt;authors&gt;&lt;author&gt;IAEA, TRS&lt;/author&gt;&lt;/authors&gt;&lt;/contributors&gt;&lt;titles&gt;&lt;title&gt;457 2007 Dosimetry in diagnostic radiology: An international code of practice ISSN 0074-1914&lt;/title&gt;&lt;/titles&gt;&lt;dates&gt;&lt;year&gt;2007&lt;/year&gt;&lt;/dates&gt;&lt;publisher&gt;Technical Reports Series no&lt;/publisher&gt;&lt;urls&gt;&lt;/urls&gt;&lt;/record&gt;&lt;/Cite&gt;&lt;/EndNote&gt;</w:instrText>
      </w:r>
      <w:r>
        <w:fldChar w:fldCharType="separate"/>
      </w:r>
      <w:r>
        <w:rPr>
          <w:noProof/>
        </w:rPr>
        <w:t>(IAEA, 2007)</w:t>
      </w:r>
      <w:r>
        <w:fldChar w:fldCharType="end"/>
      </w:r>
      <w:r>
        <w:t xml:space="preserve">, Malusek et al. </w:t>
      </w:r>
      <w:r>
        <w:fldChar w:fldCharType="begin">
          <w:fldData xml:space="preserve">PEVuZE5vdGU+PENpdGUgRXhjbHVkZUF1dGg9IjEiPjxBdXRob3I+TWFsdXNlazwvQXV0aG9yPjxZ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</w:fldData>
        </w:fldChar>
      </w:r>
      <w:r>
        <w:instrText xml:space="preserve"> ADDIN EN.CITE </w:instrText>
      </w:r>
      <w:r>
        <w:fldChar w:fldCharType="begin">
          <w:fldData xml:space="preserve">PEVuZE5vdGU+PENpdGUgRXhjbHVkZUF1dGg9IjEiPjxBdXRob3I+TWFsdXNlazwvQXV0aG9yPjxZ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</w:fldData>
        </w:fldChar>
      </w:r>
      <w:r>
        <w:instrText xml:space="preserve"> ADDIN EN.CITE.DATA </w:instrText>
      </w:r>
      <w:r>
        <w:fldChar w:fldCharType="end"/>
      </w:r>
      <w:r>
        <w:fldChar w:fldCharType="separate"/>
      </w:r>
      <w:r>
        <w:rPr>
          <w:noProof/>
        </w:rPr>
        <w:t>(2016)</w:t>
      </w:r>
      <w:r>
        <w:fldChar w:fldCharType="end"/>
      </w:r>
      <w:r>
        <w:t xml:space="preserve">, and Martin </w:t>
      </w:r>
      <w:r>
        <w:fldChar w:fldCharType="begin"/>
      </w:r>
      <w:r>
        <w:instrText xml:space="preserve"> ADDIN EN.CITE &lt;EndNote&gt;&lt;Cite ExcludeAuth="1"&gt;&lt;Author&gt;Martin&lt;/Author&gt;&lt;Year&gt;2007&lt;/Year&gt;&lt;RecNum&gt;7611&lt;/RecNum&gt;&lt;DisplayText&gt;(2007)&lt;/DisplayText&gt;&lt;record&gt;&lt;rec-number&gt;7611&lt;/rec-number&gt;&lt;foreign-keys&gt;&lt;key app="EN" db-id="tewdatv2kswps0ep9wgxe0tjvatvprte2wrd" timestamp="1681400207"&gt;7611&lt;/key&gt;&lt;/foreign-keys&gt;&lt;ref-type name="Journal Article"&gt;17&lt;/ref-type&gt;&lt;contributors&gt;&lt;authors&gt;&lt;author&gt;Martin, C. J.&lt;/author&gt;&lt;/authors&gt;&lt;/contributors&gt;&lt;auth-address&gt;Health Physics, Department of Clinical Physics and Bio-Engineering, Gartnavel Royal Hospital, Glasgow G12 0XH, UK. colin.martin@northglasgow.scot.nhs.uk&lt;/auth-address&gt;&lt;titles&gt;&lt;title&gt;An evaluation of semiconductor and ionization chamber detectors for diagnostic x-ray dosimetry measurements&lt;/title&gt;&lt;secondary-title&gt;Phys Med Biol&lt;/secondary-title&gt;&lt;/titles&gt;&lt;pages&gt;4465-80&lt;/pages&gt;&lt;volume&gt;52&lt;/volume&gt;&lt;number&gt;15&lt;/number&gt;&lt;edition&gt;20070627&lt;/edition&gt;&lt;keywords&gt;&lt;keyword&gt;Dose-Response Relationship, Radiation&lt;/keyword&gt;&lt;keyword&gt;Equipment Design&lt;/keyword&gt;&lt;keyword&gt;Equipment Failure Analysis&lt;/keyword&gt;&lt;keyword&gt;Radiation Dosage&lt;/keyword&gt;&lt;keyword&gt;Radiation, Ionizing&lt;/keyword&gt;&lt;keyword&gt;Radiography/*instrumentation&lt;/keyword&gt;&lt;keyword&gt;Radiometry/*instrumentation&lt;/keyword&gt;&lt;keyword&gt;Reproducibility of Results&lt;/keyword&gt;&lt;keyword&gt;Scattering, Radiation&lt;/keyword&gt;&lt;keyword&gt;*Semiconductors&lt;/keyword&gt;&lt;keyword&gt;Sensitivity and Specificity&lt;/keyword&gt;&lt;keyword&gt;*Transducers&lt;/keyword&gt;&lt;/keywords&gt;&lt;dates&gt;&lt;year&gt;2007&lt;/year&gt;&lt;pub-dates&gt;&lt;date&gt;Aug 7&lt;/date&gt;&lt;/pub-dates&gt;&lt;/dates&gt;&lt;isbn&gt;0031-9155 (Print)&amp;#xD;0031-9155 (Linking)&lt;/isbn&gt;&lt;accession-num&gt;17634644&lt;/accession-num&gt;&lt;urls&gt;&lt;related-urls&gt;&lt;url&gt;https://www.ncbi.nlm.nih.gov/pubmed/17634644&lt;/url&gt;&lt;/related-urls&gt;&lt;/urls&gt;&lt;electronic-resource-num&gt;10.1088/0031-9155/52/15/007&lt;/electronic-resource-num&gt;&lt;remote-database-name&gt;Medline&lt;/remote-database-name&gt;&lt;remote-database-provider&gt;NLM&lt;/remote-database-provider&gt;&lt;/record&gt;&lt;/Cite&gt;&lt;/EndNote&gt;</w:instrText>
      </w:r>
      <w:r>
        <w:fldChar w:fldCharType="separate"/>
      </w:r>
      <w:r>
        <w:rPr>
          <w:noProof/>
        </w:rPr>
        <w:t>(2007)</w:t>
      </w:r>
      <w:r>
        <w:fldChar w:fldCharType="end"/>
      </w:r>
      <w:r>
        <w:t xml:space="preserve">. Both IAEA </w:t>
      </w:r>
      <w:r>
        <w:fldChar w:fldCharType="begin"/>
      </w:r>
      <w:r>
        <w:instrText xml:space="preserve"> ADDIN EN.CITE &lt;EndNote&gt;&lt;Cite ExcludeAuth="1"&gt;&lt;Author&gt;IAEA&lt;/Author&gt;&lt;Year&gt;2007&lt;/Year&gt;&lt;RecNum&gt;12482&lt;/RecNum&gt;&lt;DisplayText&gt;(2007)&lt;/DisplayText&gt;&lt;record&gt;&lt;rec-number&gt;12482&lt;/rec-number&gt;&lt;foreign-keys&gt;&lt;key app="EN" db-id="rss5s0wzrpx9pwe5a0h5a9wkx9sf2zexde9d" timestamp="1692799546"&gt;12482&lt;/key&gt;&lt;/foreign-keys&gt;&lt;ref-type name="Report"&gt;27&lt;/ref-type&gt;&lt;contributors&gt;&lt;authors&gt;&lt;author&gt;IAEA, TRS&lt;/author&gt;&lt;/authors&gt;&lt;/contributors&gt;&lt;titles&gt;&lt;title&gt;457 2007 Dosimetry in diagnostic radiology: An international code of practice ISSN 0074-1914&lt;/title&gt;&lt;/titles&gt;&lt;dates&gt;&lt;year&gt;2007&lt;/year&gt;&lt;/dates&gt;&lt;publisher&gt;Technical Reports Series no&lt;/publisher&gt;&lt;urls&gt;&lt;/urls&gt;&lt;/record&gt;&lt;/Cite&gt;&lt;/EndNote&gt;</w:instrText>
      </w:r>
      <w:r>
        <w:fldChar w:fldCharType="separate"/>
      </w:r>
      <w:r>
        <w:rPr>
          <w:noProof/>
        </w:rPr>
        <w:t>(2007)</w:t>
      </w:r>
      <w:r>
        <w:fldChar w:fldCharType="end"/>
      </w:r>
      <w:r>
        <w:t xml:space="preserve"> and ICRU </w:t>
      </w:r>
      <w:r>
        <w:fldChar w:fldCharType="begin"/>
      </w:r>
      <w:r>
        <w:instrText xml:space="preserve"> ADDIN EN.CITE &lt;EndNote&gt;&lt;Cite&gt;&lt;Author&gt;ICRU&lt;/Author&gt;&lt;Year&gt;2005&lt;/Year&gt;&lt;RecNum&gt;12469&lt;/RecNum&gt;&lt;DisplayText&gt;(ICRU, 2005)&lt;/DisplayText&gt;&lt;record&gt;&lt;rec-number&gt;12469&lt;/rec-number&gt;&lt;foreign-keys&gt;&lt;key app="EN" db-id="rss5s0wzrpx9pwe5a0h5a9wkx9sf2zexde9d" timestamp="1686053795"&gt;12469&lt;/key&gt;&lt;/foreign-keys&gt;&lt;ref-type name="Journal Article"&gt;17&lt;/ref-type&gt;&lt;contributors&gt;&lt;authors&gt;&lt;author&gt;ICRU&lt;/author&gt;&lt;/authors&gt;&lt;/contributors&gt;&lt;titles&gt;&lt;title&gt;Patient dosimetry for x rays used in medical imaging. ICRU Report 74&lt;/title&gt;&lt;secondary-title&gt;J ICRU&lt;/secondary-title&gt;&lt;/titles&gt;&lt;periodical&gt;&lt;full-title&gt;J icru&lt;/full-title&gt;&lt;/periodical&gt;&lt;volume&gt;5&lt;/volume&gt;&lt;number&gt;2&lt;/number&gt;&lt;dates&gt;&lt;year&gt;2005&lt;/year&gt;&lt;pub-dates&gt;&lt;date&gt;Dec&lt;/date&gt;&lt;/pub-dates&gt;&lt;/dates&gt;&lt;isbn&gt;1473-6691 (Print)&amp;#xD;1473-6691&lt;/isbn&gt;&lt;accession-num&gt;24170883&lt;/accession-num&gt;&lt;urls&gt;&lt;/urls&gt;&lt;electronic-resource-num&gt;10.1093/jicru/ndi016&lt;/electronic-resource-num&gt;&lt;remote-database-provider&gt;NLM&lt;/remote-database-provider&gt;&lt;language&gt;eng&lt;/language&gt;&lt;/record&gt;&lt;/Cite&gt;&lt;/EndNote&gt;</w:instrText>
      </w:r>
      <w:r>
        <w:fldChar w:fldCharType="separate"/>
      </w:r>
      <w:r>
        <w:rPr>
          <w:noProof/>
        </w:rPr>
        <w:t>(ICRU, 2005)</w:t>
      </w:r>
      <w:r>
        <w:fldChar w:fldCharType="end"/>
      </w:r>
      <w:r>
        <w:t xml:space="preserve"> recommend that these uncertainties be kept below 7%. This is relatively easily managed when ionisation chambers are used but is difficult to achieve when dose data is acquired with KAP meters. For example, the International Electrotechnical Commission </w:t>
      </w:r>
      <w:r>
        <w:fldChar w:fldCharType="begin"/>
      </w:r>
      <w:r>
        <w:instrText xml:space="preserve"> ADDIN EN.CITE &lt;EndNote&gt;&lt;Cite&gt;&lt;Author&gt;IEC&lt;/Author&gt;&lt;Year&gt;2020&lt;/Year&gt;&lt;RecNum&gt;249&lt;/RecNum&gt;&lt;DisplayText&gt;(IEC, 2020)&lt;/DisplayText&gt;&lt;record&gt;&lt;rec-number&gt;249&lt;/rec-number&gt;&lt;foreign-keys&gt;&lt;key app="EN" db-id="tewdatv2kswps0ep9wgxe0tjvatvprte2wrd" timestamp="1681399764"&gt;249&lt;/key&gt;&lt;/foreign-keys&gt;&lt;ref-type name="Standard"&gt;58&lt;/ref-type&gt;&lt;contributors&gt;&lt;authors&gt;&lt;author&gt;IEC&lt;/author&gt;&lt;/authors&gt;&lt;/contributors&gt;&lt;titles&gt;&lt;title&gt;Medical Electrical Equipment - Dose Area Product Meters IEC 60580:2020&lt;/title&gt;&lt;/titles&gt;&lt;dates&gt;&lt;year&gt;2020&lt;/year&gt;&lt;/dates&gt;&lt;publisher&gt;BS IEC&lt;/publisher&gt;&lt;urls&gt;&lt;/urls&gt;&lt;/record&gt;&lt;/Cite&gt;&lt;/EndNote&gt;</w:instrText>
      </w:r>
      <w:r>
        <w:fldChar w:fldCharType="separate"/>
      </w:r>
      <w:r>
        <w:rPr>
          <w:noProof/>
        </w:rPr>
        <w:t>(IEC, 2020)</w:t>
      </w:r>
      <w:r>
        <w:fldChar w:fldCharType="end"/>
      </w:r>
      <w:r>
        <w:t xml:space="preserve"> recommend that the overall uncertainty associated with field class KAP meter measurements in radiography should be below 25%. Toroi et al. </w:t>
      </w:r>
      <w:r>
        <w:fldChar w:fldCharType="begin"/>
      </w:r>
      <w:r>
        <w:instrText xml:space="preserve"> ADDIN EN.CITE &lt;EndNote&gt;&lt;Cite ExcludeAuth="1"&gt;&lt;Author&gt;Toroi&lt;/Author&gt;&lt;Year&gt;2008&lt;/Year&gt;&lt;RecNum&gt;12479&lt;/RecNum&gt;&lt;DisplayText&gt;(2008a)&lt;/DisplayText&gt;&lt;record&gt;&lt;rec-number&gt;12479&lt;/rec-number&gt;&lt;foreign-keys&gt;&lt;key app="EN" db-id="rss5s0wzrpx9pwe5a0h5a9wkx9sf2zexde9d" timestamp="1692798724"&gt;12479&lt;/key&gt;&lt;/foreign-keys&gt;&lt;ref-type name="Journal Article"&gt;17&lt;/ref-type&gt;&lt;contributors&gt;&lt;authors&gt;&lt;author&gt;Toroi, P.&lt;/author&gt;&lt;author&gt;Komppa, T.&lt;/author&gt;&lt;author&gt;Kosunen, A.&lt;/author&gt;&lt;/authors&gt;&lt;/contributors&gt;&lt;titles&gt;&lt;title&gt;A tandem calibration method for kerma–area product meters&lt;/title&gt;&lt;secondary-title&gt;Physics in Medicine &amp;amp; Biology&lt;/secondary-title&gt;&lt;/titles&gt;&lt;periodical&gt;&lt;full-title&gt;Physics in Medicine and Biology&lt;/full-title&gt;&lt;abbr-1&gt;Phys. Med. Biol.&lt;/abbr-1&gt;&lt;abbr-2&gt;Phys Med Biol&lt;/abbr-2&gt;&lt;abbr-3&gt;Physics in Medicine &amp;amp; Biology&lt;/abbr-3&gt;&lt;/periodical&gt;&lt;pages&gt;4941&lt;/pages&gt;&lt;volume&gt;53&lt;/volume&gt;&lt;number&gt;18&lt;/number&gt;&lt;dates&gt;&lt;year&gt;2008&lt;/year&gt;&lt;pub-dates&gt;&lt;date&gt;2008/08/18&lt;/date&gt;&lt;/pub-dates&gt;&lt;/dates&gt;&lt;isbn&gt;0031-9155&lt;/isbn&gt;&lt;urls&gt;&lt;related-urls&gt;&lt;url&gt;https://dx.doi.org/10.1088/0031-9155/53/18/006&lt;/url&gt;&lt;/related-urls&gt;&lt;/urls&gt;&lt;electronic-resource-num&gt;10.1088/0031-9155/53/18/006&lt;/electronic-resource-num&gt;&lt;/record&gt;&lt;/Cite&gt;&lt;/EndNote&gt;</w:instrText>
      </w:r>
      <w:r>
        <w:fldChar w:fldCharType="separate"/>
      </w:r>
      <w:r>
        <w:rPr>
          <w:noProof/>
        </w:rPr>
        <w:t>(2008a)</w:t>
      </w:r>
      <w:r>
        <w:fldChar w:fldCharType="end"/>
      </w:r>
      <w:r>
        <w:t xml:space="preserve"> and Malusek et al. </w:t>
      </w:r>
      <w:r>
        <w:fldChar w:fldCharType="begin">
          <w:fldData xml:space="preserve">PEVuZE5vdGU+PENpdGUgRXhjbHVkZUF1dGg9IjEiPjxBdXRob3I+TWFsdXNlazwvQXV0aG9yPjxZ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</w:fldData>
        </w:fldChar>
      </w:r>
      <w:r>
        <w:instrText xml:space="preserve"> ADDIN EN.CITE </w:instrText>
      </w:r>
      <w:r>
        <w:fldChar w:fldCharType="begin">
          <w:fldData xml:space="preserve">PEVuZE5vdGU+PENpdGUgRXhjbHVkZUF1dGg9IjEiPjxBdXRob3I+TWFsdXNlazwvQXV0aG9yPjxZ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</w:fldData>
        </w:fldChar>
      </w:r>
      <w:r>
        <w:instrText xml:space="preserve"> ADDIN EN.CITE.DATA </w:instrText>
      </w:r>
      <w:r>
        <w:fldChar w:fldCharType="end"/>
      </w:r>
      <w:r>
        <w:fldChar w:fldCharType="separate"/>
      </w:r>
      <w:r>
        <w:rPr>
          <w:noProof/>
        </w:rPr>
        <w:t>(2016)</w:t>
      </w:r>
      <w:r>
        <w:fldChar w:fldCharType="end"/>
      </w:r>
      <w:r>
        <w:t xml:space="preserve"> both report that it is possible to achieve an expanded uncertainty of lower than ±7% (coverage factor k = 2) if appropriate and traceable KAP calibration is carried out across the range of diagnostic beam qualities encountered in clinical practice. Sanchez and colleagues </w:t>
      </w:r>
      <w:r>
        <w:fldChar w:fldCharType="begin">
          <w:fldData xml:space="preserve">PEVuZE5vdGU+PENpdGU+PEF1dGhvcj5TYW5jaGV6PC9BdXRob3I+PFllYXI+MjAyMDwvWWVhcj48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</w:fldData>
        </w:fldChar>
      </w:r>
      <w:r>
        <w:instrText xml:space="preserve"> ADDIN EN.CITE </w:instrText>
      </w:r>
      <w:r>
        <w:fldChar w:fldCharType="begin">
          <w:fldData xml:space="preserve">PEVuZE5vdGU+PENpdGU+PEF1dGhvcj5TYW5jaGV6PC9BdXRob3I+PFllYXI+MjAyMDwvWWVhcj48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</w:fldData>
        </w:fldChar>
      </w:r>
      <w:r>
        <w:instrText xml:space="preserve"> ADDIN EN.CITE.DATA </w:instrText>
      </w:r>
      <w:r>
        <w:fldChar w:fldCharType="end"/>
      </w:r>
      <w:r>
        <w:fldChar w:fldCharType="separate"/>
      </w:r>
      <w:r>
        <w:rPr>
          <w:noProof/>
        </w:rPr>
        <w:t>(Sanchez et al., 2020)</w:t>
      </w:r>
      <w:r>
        <w:fldChar w:fldCharType="end"/>
      </w:r>
      <w:r>
        <w:t xml:space="preserve"> have suggested that it should be easy </w:t>
      </w:r>
      <w:r>
        <w:lastRenderedPageBreak/>
        <w:t>for a medical physics expert to check if a dose meter introduces bias greater than ± 10% at least in reference conditions.</w:t>
      </w:r>
    </w:p>
    <w:p w14:paraId="3B891E2B" w14:textId="77777777" w:rsidR="00E72CA9" w:rsidRDefault="00D516E3">
      <w:pPr>
        <w:pStyle w:val="ICRPnumberedparagraph"/>
        <w:ind w:left="0"/>
      </w:pPr>
      <w:r>
        <w:t>Another source of uncertainty is the fact that the spectra have been calculated in a vacuum whilst in reality the transmission medium is air. At 81 kV, which is representative of radiographic practice in general, the error introduced by this approximation is an overestimate of air kerma by 5% at most, as can be identified using SpekCalc, IPEM Report 78 or any other spectrum calculator.</w:t>
      </w:r>
    </w:p>
    <w:p w14:paraId="1657337C" w14:textId="77777777" w:rsidR="00E72CA9" w:rsidRDefault="00D516E3">
      <w:pPr>
        <w:pStyle w:val="ICRPnumberedparagraph"/>
        <w:ind w:left="0" w:firstLine="142"/>
      </w:pPr>
      <w:r>
        <w:t xml:space="preserve">Further uncertainty is introduced by the fact that the present calculations did not consider the heel effect or any other field inhomogeneity. It has been estimated that field inhomogeneities result in a coefficient of variation of up to 1.5% for a 40 cm by 40 cm field at the detector plane for exposures made across the diagnostic range of tube potential </w:t>
      </w:r>
      <w:r>
        <w:fldChar w:fldCharType="begin"/>
      </w:r>
      <w:r>
        <w:instrText xml:space="preserve"> ADDIN EN.CITE &lt;EndNote&gt;&lt;Cite&gt;&lt;Author&gt;Worrall&lt;/Author&gt;&lt;Year&gt;2015&lt;/Year&gt;&lt;RecNum&gt;12480&lt;/RecNum&gt;&lt;DisplayText&gt;(Worrall and Sutton, 2015)&lt;/DisplayText&gt;&lt;record&gt;&lt;rec-number&gt;12480&lt;/rec-number&gt;&lt;foreign-keys&gt;&lt;key app="EN" db-id="rss5s0wzrpx9pwe5a0h5a9wkx9sf2zexde9d" timestamp="1692799229"&gt;12480&lt;/key&gt;&lt;/foreign-keys&gt;&lt;ref-type name="Journal Article"&gt;17&lt;/ref-type&gt;&lt;contributors&gt;&lt;authors&gt;&lt;author&gt;M Worrall &lt;/author&gt;&lt;author&gt;D G Sutton  &lt;/author&gt;&lt;/authors&gt;&lt;/contributors&gt;&lt;titles&gt;&lt;title&gt;Developing a method and deriving an uncertainty budget for the internal calibration of dosemeters for radiographic equipment&lt;/title&gt;&lt;secondary-title&gt;Journal of Radiological Protection&lt;/secondary-title&gt;&lt;/titles&gt;&lt;periodical&gt;&lt;full-title&gt;Journal of Radiological Protection&lt;/full-title&gt;&lt;abbr-1&gt;Journal of Radiological Protection&lt;/abbr-1&gt;&lt;/periodical&gt;&lt;volume&gt;35&lt;/volume&gt;&lt;number&gt;1&lt;/number&gt;&lt;section&gt;209&lt;/section&gt;&lt;dates&gt;&lt;year&gt;2015&lt;/year&gt;&lt;/dates&gt;&lt;urls&gt;&lt;/urls&gt;&lt;electronic-resource-num&gt;10.1088/0952-4746/35/1/209&lt;/electronic-resource-num&gt;&lt;/record&gt;&lt;/Cite&gt;&lt;/EndNote&gt;</w:instrText>
      </w:r>
      <w:r>
        <w:fldChar w:fldCharType="separate"/>
      </w:r>
      <w:r>
        <w:rPr>
          <w:noProof/>
        </w:rPr>
        <w:t>(Worrall and Sutton, 2015)</w:t>
      </w:r>
      <w:r>
        <w:fldChar w:fldCharType="end"/>
      </w:r>
      <w:r>
        <w:t>. This uncertainty will directly propagate to the organ absorbed dose calculation. The scatter contribution from the collimation, and other x-ray set components such as the additional filtration, to the air kerma incident on a patient is not considered in the Monte Carlo simulations. There is very little published work quantifying the magnitude of such scatter. However, calculations performed as part of this work suggests that the contribution is considerably less than 1%. This too will be reflected in the uncertainty introduced into the organ absorbed dose calculation.</w:t>
      </w:r>
      <w:r>
        <w:rPr>
          <w:lang w:val="en-US"/>
        </w:rPr>
        <w:t xml:space="preserve"> </w:t>
      </w:r>
    </w:p>
    <w:p w14:paraId="2A5EEA0D" w14:textId="77777777" w:rsidR="00E72CA9" w:rsidRDefault="00D516E3">
      <w:pPr>
        <w:pStyle w:val="ICRPnumberedparagraph"/>
        <w:ind w:left="0"/>
      </w:pPr>
      <w:r>
        <w:t>Taking the above contributions into account, the lowest uncertainty that can be expected is an expanded uncertainty (k=2) in the calculated dose of about ±12.5% if the normalising quantity is incident air kerma or the KAP meter is subject to rigorous calibration checks. However, one can reasonably expect an uncertainty of at least about ± 20% to be encountered in practice if one is employing KAP as the normalising factor.</w:t>
      </w:r>
    </w:p>
    <w:p w14:paraId="1645AB93" w14:textId="77777777" w:rsidR="00E72CA9" w:rsidRDefault="00D516E3">
      <w:pPr>
        <w:pStyle w:val="2"/>
      </w:pPr>
      <w:bookmarkStart w:id="148" w:name="_Toc158293347"/>
      <w:bookmarkStart w:id="149" w:name="_Toc158293667"/>
      <w:bookmarkStart w:id="150" w:name="_Toc165302053"/>
      <w:r>
        <w:t>Limitations in interpretation</w:t>
      </w:r>
      <w:bookmarkStart w:id="151" w:name="_Toc111194109"/>
      <w:bookmarkEnd w:id="148"/>
      <w:bookmarkEnd w:id="149"/>
      <w:bookmarkEnd w:id="150"/>
    </w:p>
    <w:p w14:paraId="09D3D862" w14:textId="77777777" w:rsidR="00E72CA9" w:rsidRDefault="00D516E3">
      <w:pPr>
        <w:pStyle w:val="ICRPnumberedparagraph"/>
        <w:ind w:left="0"/>
        <w:rPr>
          <w:szCs w:val="24"/>
        </w:rPr>
      </w:pPr>
      <w:r>
        <w:rPr>
          <w:szCs w:val="24"/>
        </w:rPr>
        <w:t xml:space="preserve">This publication provides patient organ absorbed dose coefficients, for male and female separately, for specific x-ray medical imaging procedures and well-defined technical factors. </w:t>
      </w:r>
      <w:r>
        <w:t xml:space="preserve">It also provides, for each examination, a value of either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w:rPr>
                    <w:rFonts w:ascii="Cambria Math" w:hAnsi="Cambria Math"/>
                  </w:rPr>
                  <m:t xml:space="preserve">T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w:rPr>
                <w:rFonts w:ascii="Cambria Math" w:hAnsi="Cambria Math"/>
              </w:rPr>
              <m:t xml:space="preserve">T  </m:t>
            </m:r>
          </m:sub>
          <m:sup>
            <m:r>
              <w:rPr>
                <w:rFonts w:ascii="Cambria Math" w:hAnsi="Cambria Math"/>
              </w:rPr>
              <m:t>M</m:t>
            </m:r>
          </m:sup>
        </m:sSubSup>
        <m:r>
          <w:rPr>
            <w:rFonts w:ascii="Cambria Math" w:hAnsi="Cambria Math"/>
          </w:rPr>
          <m:t xml:space="preserve"> </m:t>
        </m:r>
      </m:oMath>
      <w:r>
        <w:t xml:space="preserve"> or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w:rPr>
                    <w:rFonts w:ascii="Cambria Math" w:hAnsi="Cambria Math"/>
                  </w:rPr>
                  <m:t xml:space="preserve">T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w:rPr>
                <w:rFonts w:ascii="Cambria Math" w:hAnsi="Cambria Math"/>
              </w:rPr>
              <m:t xml:space="preserve">T  </m:t>
            </m:r>
          </m:sub>
          <m:sup>
            <m:r>
              <w:rPr>
                <w:rFonts w:ascii="Cambria Math" w:hAnsi="Cambria Math"/>
              </w:rPr>
              <m:t>F</m:t>
            </m:r>
          </m:sup>
        </m:sSubSup>
      </m:oMath>
      <w:r>
        <w:rPr>
          <w:sz w:val="20"/>
          <w:szCs w:val="20"/>
          <w:lang w:eastAsia="en-GB"/>
        </w:rPr>
        <w:t xml:space="preserve">, </w:t>
      </w:r>
      <w:r>
        <w:rPr>
          <w:szCs w:val="24"/>
          <w:lang w:eastAsia="en-GB"/>
        </w:rPr>
        <w:t>depending on whether the examination is performed on the male or female phantom. The effective dose for an examination can be obtained by taking the average of the two.</w:t>
      </w:r>
      <w:r>
        <w:rPr>
          <w:szCs w:val="24"/>
        </w:rPr>
        <w:t xml:space="preserve"> However, this approach has limitations for the adult and 15-year-old reference ages due to the normalisation quantities used, i.e. </w:t>
      </w:r>
      <w:r>
        <w:t>KAP (</w:t>
      </w:r>
      <w:r>
        <w:rPr>
          <w:i/>
        </w:rPr>
        <w:t>P</w:t>
      </w:r>
      <w:r>
        <w:rPr>
          <w:vertAlign w:val="subscript"/>
        </w:rPr>
        <w:t>KA</w:t>
      </w:r>
      <w:r>
        <w:t>)</w:t>
      </w:r>
      <w:r>
        <w:rPr>
          <w:szCs w:val="24"/>
        </w:rPr>
        <w:t xml:space="preserve">, fluence and air kerma. For these reference ages, the male phantom has a different size than the female phantom. </w:t>
      </w:r>
      <w:proofErr w:type="gramStart"/>
      <w:r>
        <w:rPr>
          <w:szCs w:val="24"/>
        </w:rPr>
        <w:t>Consequently</w:t>
      </w:r>
      <w:proofErr w:type="gramEnd"/>
      <w:r>
        <w:rPr>
          <w:szCs w:val="24"/>
        </w:rPr>
        <w:t xml:space="preserve"> the KAP, fluence and air kerma required to achieve the same image quality for any one examination will be different for males and females.</w:t>
      </w:r>
      <w:r>
        <w:t xml:space="preserve"> This is not the case for the newborn, 1-, 5-, and 10-year-old phantoms, for which male and female anatomy and size are the same, besides the sex-specific organs.</w:t>
      </w:r>
    </w:p>
    <w:p w14:paraId="1F20E100" w14:textId="0B6DF8AD" w:rsidR="00E72CA9" w:rsidRDefault="00D516E3">
      <w:pPr>
        <w:pStyle w:val="ICRPnumberedparagraph"/>
        <w:ind w:left="0"/>
        <w:rPr>
          <w:szCs w:val="24"/>
        </w:rPr>
      </w:pPr>
      <w:r>
        <w:rPr>
          <w:szCs w:val="24"/>
        </w:rPr>
        <w:t xml:space="preserve">For the calculation of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w:rPr>
                    <w:rFonts w:ascii="Cambria Math" w:hAnsi="Cambria Math"/>
                  </w:rPr>
                  <m:t xml:space="preserve">T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w:rPr>
                <w:rFonts w:ascii="Cambria Math" w:hAnsi="Cambria Math"/>
              </w:rPr>
              <m:t xml:space="preserve">T  </m:t>
            </m:r>
          </m:sub>
          <m:sup>
            <m:r>
              <w:rPr>
                <w:rFonts w:ascii="Cambria Math" w:hAnsi="Cambria Math"/>
              </w:rPr>
              <m:t>M</m:t>
            </m:r>
          </m:sup>
        </m:sSubSup>
      </m:oMath>
      <w:r>
        <w:t xml:space="preserve">,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w:rPr>
                    <w:rFonts w:ascii="Cambria Math" w:hAnsi="Cambria Math"/>
                  </w:rPr>
                  <m:t xml:space="preserve">T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w:rPr>
                <w:rFonts w:ascii="Cambria Math" w:hAnsi="Cambria Math"/>
              </w:rPr>
              <m:t xml:space="preserve">T  </m:t>
            </m:r>
          </m:sub>
          <m:sup>
            <m:r>
              <w:rPr>
                <w:rFonts w:ascii="Cambria Math" w:hAnsi="Cambria Math"/>
              </w:rPr>
              <m:t>F</m:t>
            </m:r>
          </m:sup>
        </m:sSubSup>
      </m:oMath>
      <w:r>
        <w:rPr>
          <w:sz w:val="20"/>
          <w:szCs w:val="20"/>
          <w:lang w:eastAsia="en-GB"/>
        </w:rPr>
        <w:t xml:space="preserve"> </w:t>
      </w:r>
      <w:r>
        <w:rPr>
          <w:szCs w:val="24"/>
          <w:lang w:eastAsia="en-GB"/>
        </w:rPr>
        <w:t xml:space="preserve">and </w:t>
      </w:r>
      <w:r>
        <w:rPr>
          <w:szCs w:val="24"/>
        </w:rPr>
        <w:t>effective dose, it should be noted that the current ICRP system of radiological protection uses a simplified set of tissue weighting factors, based on sex- and age-averaged relative detriment values and specifies only two nominal detriment values: 5.7×10</w:t>
      </w:r>
      <w:r>
        <w:rPr>
          <w:szCs w:val="24"/>
          <w:vertAlign w:val="superscript"/>
        </w:rPr>
        <w:t>−2</w:t>
      </w:r>
      <w:r>
        <w:rPr>
          <w:szCs w:val="24"/>
        </w:rPr>
        <w:t xml:space="preserve"> Sv</w:t>
      </w:r>
      <w:r>
        <w:rPr>
          <w:szCs w:val="24"/>
          <w:vertAlign w:val="superscript"/>
        </w:rPr>
        <w:t>-1</w:t>
      </w:r>
      <w:r>
        <w:rPr>
          <w:szCs w:val="24"/>
        </w:rPr>
        <w:t xml:space="preserve"> for the whole population and 4.2×10</w:t>
      </w:r>
      <w:r>
        <w:rPr>
          <w:szCs w:val="24"/>
          <w:vertAlign w:val="superscript"/>
        </w:rPr>
        <w:t>−2</w:t>
      </w:r>
      <w:r>
        <w:rPr>
          <w:szCs w:val="24"/>
        </w:rPr>
        <w:t xml:space="preserve"> Sv</w:t>
      </w:r>
      <w:r>
        <w:rPr>
          <w:szCs w:val="24"/>
          <w:vertAlign w:val="superscript"/>
        </w:rPr>
        <w:t>−1</w:t>
      </w:r>
      <w:r>
        <w:rPr>
          <w:szCs w:val="24"/>
        </w:rPr>
        <w:t xml:space="preserve"> for adults (ICRP, 2007b). Thus, recognised differences in detriment and relative detriment (the contribution of the various organs and tissues to total detriment) as a function of age at exposure are not </w:t>
      </w:r>
      <w:proofErr w:type="gramStart"/>
      <w:r>
        <w:rPr>
          <w:szCs w:val="24"/>
        </w:rPr>
        <w:t>taken into account</w:t>
      </w:r>
      <w:proofErr w:type="gramEnd"/>
      <w:r>
        <w:rPr>
          <w:szCs w:val="24"/>
        </w:rPr>
        <w:t xml:space="preserve">, other than in the differences between the two nominal detriment values (ICRP, 1991b, 2007b). Thus, differences in effective dose coefficients as a function of age shown in this </w:t>
      </w:r>
      <w:r>
        <w:t>publication</w:t>
      </w:r>
      <w:r>
        <w:rPr>
          <w:szCs w:val="24"/>
        </w:rPr>
        <w:t xml:space="preserve"> relate only to differences in physical size and organ masses and do not address differences in detriment per Sv. Similarly, differences in organ absorbed dose coefficients do not inform on differences in stochastic risk per Gy as a function of age at </w:t>
      </w:r>
      <w:r>
        <w:rPr>
          <w:szCs w:val="24"/>
        </w:rPr>
        <w:lastRenderedPageBreak/>
        <w:t xml:space="preserve">exposure. These are issues that ICRP plans to consider in the future.   However, it should </w:t>
      </w:r>
      <w:proofErr w:type="gramStart"/>
      <w:r>
        <w:rPr>
          <w:szCs w:val="24"/>
        </w:rPr>
        <w:t>also  be</w:t>
      </w:r>
      <w:proofErr w:type="gramEnd"/>
      <w:r>
        <w:rPr>
          <w:szCs w:val="24"/>
        </w:rPr>
        <w:t xml:space="preserve"> kept in mind that patients are a different group to the general population and may have existing pathologies, the aetiology for which could be erroneously related to the use of radiation. For guidance on the use of effective dose for patients see ICRP </w:t>
      </w:r>
      <w:r>
        <w:rPr>
          <w:i/>
          <w:iCs/>
          <w:szCs w:val="24"/>
        </w:rPr>
        <w:t>Publication 147</w:t>
      </w:r>
      <w:r>
        <w:rPr>
          <w:szCs w:val="24"/>
        </w:rPr>
        <w:t xml:space="preserve"> (2021). Further advice on the meaningful interpretation of the effective dose in medicine can be found in Martin </w:t>
      </w:r>
      <w:r>
        <w:rPr>
          <w:szCs w:val="24"/>
        </w:rPr>
        <w:fldChar w:fldCharType="begin"/>
      </w:r>
      <w:r>
        <w:rPr>
          <w:szCs w:val="24"/>
        </w:rPr>
        <w:instrText xml:space="preserve"> ADDIN EN.CITE &lt;EndNote&gt;&lt;Cite ExcludeAuth="1"&gt;&lt;Author&gt;Martin&lt;/Author&gt;&lt;Year&gt;2020&lt;/Year&gt;&lt;RecNum&gt;12503&lt;/RecNum&gt;&lt;DisplayText&gt;(2020)&lt;/DisplayText&gt;&lt;record&gt;&lt;rec-number&gt;12503&lt;/rec-number&gt;&lt;foreign-keys&gt;&lt;key app="EN" db-id="rss5s0wzrpx9pwe5a0h5a9wkx9sf2zexde9d" timestamp="1706881307"&gt;12503&lt;/key&gt;&lt;/foreign-keys&gt;&lt;ref-type name="Journal Article"&gt;17&lt;/ref-type&gt;&lt;contributors&gt;&lt;authors&gt;&lt;author&gt;Martin, C. J.&lt;/author&gt;&lt;/authors&gt;&lt;/contributors&gt;&lt;auth-address&gt;Department of Clinical Physics and Bioengineering, University of Glasgow, Gartnavel Royal Hospital, Glasgow G12 0XH, UK.&lt;/auth-address&gt;&lt;titles&gt;&lt;title&gt;Effective dose in medicine&lt;/title&gt;&lt;secondary-title&gt;Ann ICRP&lt;/secondary-title&gt;&lt;/titles&gt;&lt;periodical&gt;&lt;full-title&gt;Annals of the ICRP&lt;/full-title&gt;&lt;abbr-1&gt;Ann. ICRP&lt;/abbr-1&gt;&lt;abbr-2&gt;Ann ICRP&lt;/abbr-2&gt;&lt;/periodical&gt;&lt;pages&gt;126-140&lt;/pages&gt;&lt;volume&gt;49&lt;/volume&gt;&lt;number&gt;1_suppl&lt;/number&gt;&lt;edition&gt;20201104&lt;/edition&gt;&lt;keywords&gt;&lt;keyword&gt;Humans&lt;/keyword&gt;&lt;keyword&gt;*International Agencies&lt;/keyword&gt;&lt;keyword&gt;Nuclear Medicine/*instrumentation&lt;/keyword&gt;&lt;keyword&gt;*Radiation Dosage&lt;/keyword&gt;&lt;keyword&gt;Radiation Protection/*standards&lt;/keyword&gt;&lt;keyword&gt;Effective dose&lt;/keyword&gt;&lt;keyword&gt;Patient dose&lt;/keyword&gt;&lt;keyword&gt;Risk calculation&lt;/keyword&gt;&lt;/keywords&gt;&lt;dates&gt;&lt;year&gt;2020&lt;/year&gt;&lt;pub-dates&gt;&lt;date&gt;Dec&lt;/date&gt;&lt;/pub-dates&gt;&lt;/dates&gt;&lt;isbn&gt;0146-6453 (Print)&amp;#xD;0146-6453&lt;/isbn&gt;&lt;accession-num&gt;33147998&lt;/accession-num&gt;&lt;urls&gt;&lt;/urls&gt;&lt;custom2&gt;PMC7750662&lt;/custom2&gt;&lt;electronic-resource-num&gt;10.1177/0146645320927849&lt;/electronic-resource-num&gt;&lt;remote-database-provider&gt;NLM&lt;/remote-database-provider&gt;&lt;language&gt;eng&lt;/language&gt;&lt;/record&gt;&lt;/Cite&gt;&lt;/EndNote&gt;</w:instrText>
      </w:r>
      <w:r>
        <w:rPr>
          <w:szCs w:val="24"/>
        </w:rPr>
        <w:fldChar w:fldCharType="separate"/>
      </w:r>
      <w:r>
        <w:rPr>
          <w:noProof/>
          <w:szCs w:val="24"/>
        </w:rPr>
        <w:t>(2020)</w:t>
      </w:r>
      <w:r>
        <w:rPr>
          <w:szCs w:val="24"/>
        </w:rPr>
        <w:fldChar w:fldCharType="end"/>
      </w:r>
      <w:r>
        <w:rPr>
          <w:szCs w:val="24"/>
        </w:rPr>
        <w:t xml:space="preserve"> who describes the approximations made in the derivation of effective dose for medical exposures, emphasises the uncertainties in calculating the subsequent risk and warns not to overstate its accuracy.</w:t>
      </w:r>
    </w:p>
    <w:p w14:paraId="4B6475B8" w14:textId="77777777" w:rsidR="00E72CA9" w:rsidRDefault="00D516E3">
      <w:pPr>
        <w:rPr>
          <w:szCs w:val="24"/>
          <w:lang w:eastAsia="ja-JP"/>
        </w:rPr>
      </w:pPr>
      <w:r>
        <w:rPr>
          <w:szCs w:val="24"/>
        </w:rPr>
        <w:br w:type="page"/>
      </w:r>
    </w:p>
    <w:p w14:paraId="680500F0" w14:textId="77777777" w:rsidR="00E72CA9" w:rsidRDefault="00D516E3">
      <w:pPr>
        <w:pStyle w:val="1"/>
      </w:pPr>
      <w:bookmarkStart w:id="152" w:name="_Toc165302054"/>
      <w:r>
        <w:lastRenderedPageBreak/>
        <w:t>Conclusions</w:t>
      </w:r>
      <w:bookmarkEnd w:id="152"/>
    </w:p>
    <w:p w14:paraId="2301E303" w14:textId="77777777" w:rsidR="00E72CA9" w:rsidRDefault="00D516E3">
      <w:pPr>
        <w:pStyle w:val="ICRPnumberedparagraph"/>
        <w:ind w:left="0"/>
      </w:pPr>
      <w:r>
        <w:t xml:space="preserve"> There are increasing demands from patients, families, medical professionals and relevant regulatory agencies to document patient-specific exposures for diagnostic medical imaging procedures. Ethical and professional considerations around accountability, transparency and patient-centredness emphasise the importance of these requirements. Decisions around justification and optimisation require prospective knowledge of patient doses.  Investigation of the consequences of unintended exposures requires retrospective determination of patient doses.  A standardised methodology to determine patient doses will be of considerable benefit in all of these instances, facilitating and possibly simplifying decisions involving optimisation and justification.  The study of variations in representative patient doses resulting from differences in equipment, radiographic technique and other factors encountered in different countries can be very instructive in radiation protection practice and will benefit from a standardised methodology. </w:t>
      </w:r>
    </w:p>
    <w:p w14:paraId="1A6EAC2E" w14:textId="77777777" w:rsidR="00E72CA9" w:rsidRDefault="00D516E3">
      <w:pPr>
        <w:pStyle w:val="ICRPnumberedparagraph"/>
        <w:ind w:left="0"/>
      </w:pPr>
      <w:r>
        <w:t xml:space="preserve">This publication describes the ICRP approach to developing a standardised method for the determination of organ absorbed and effective dose coefficients for radiographic imaging for a range of examinations commonly performed on adults and children. Radiographic examinations for which coefficients have been developed were primarily chosen based on their frequency. The projections used in the simulations were defined in conjunction with expert clinical input as described in Section 3 and Annex B. The coefficients have been produced for the adult male and female ICRP reference voxel phantoms as well as for the suite of ICRP reference paediatric voxel phantoms.  This is the first set of such coefficients published by the </w:t>
      </w:r>
      <w:r>
        <w:rPr>
          <w:rFonts w:hint="eastAsia"/>
        </w:rPr>
        <w:t>C</w:t>
      </w:r>
      <w:r>
        <w:t xml:space="preserve">ommission and the publication itself is the first of a series reporting organ absorbed and effective doses for various diagnostic x-ray modalities. Future publications will consider computed tomography, fluoroscopically guided interventional radiology and diagnostic paediatric fluoroscopy. The work will also be extended to consider the case of pregnant and non-reference patients when mesh rather than voxel format phantoms will be utilised. </w:t>
      </w:r>
    </w:p>
    <w:p w14:paraId="22D01C22" w14:textId="77777777" w:rsidR="00E72CA9" w:rsidRDefault="00D516E3">
      <w:pPr>
        <w:pStyle w:val="ICRPnumberedparagraph"/>
        <w:ind w:left="0"/>
      </w:pPr>
      <w:r>
        <w:t xml:space="preserve">Organ absorbed dose coefficients are provided for both male and female phantoms for well-defined exposure fields. Effective dose is a sex-averaged quantity so this publication also  provides, for each examination considered, a value of the coefficient for either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w:rPr>
                    <w:rFonts w:ascii="Cambria Math" w:hAnsi="Cambria Math"/>
                  </w:rPr>
                  <m:t xml:space="preserve">T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w:rPr>
                <w:rFonts w:ascii="Cambria Math" w:hAnsi="Cambria Math"/>
              </w:rPr>
              <m:t xml:space="preserve">T  </m:t>
            </m:r>
          </m:sub>
          <m:sup>
            <m:r>
              <w:rPr>
                <w:rFonts w:ascii="Cambria Math" w:hAnsi="Cambria Math"/>
              </w:rPr>
              <m:t>M</m:t>
            </m:r>
          </m:sup>
        </m:sSubSup>
        <m:r>
          <w:rPr>
            <w:rFonts w:ascii="Cambria Math" w:hAnsi="Cambria Math"/>
          </w:rPr>
          <m:t xml:space="preserve"> </m:t>
        </m:r>
      </m:oMath>
      <w:r>
        <w:t xml:space="preserve"> or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w:rPr>
                    <w:rFonts w:ascii="Cambria Math" w:hAnsi="Cambria Math"/>
                  </w:rPr>
                  <m:t xml:space="preserve">T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w:rPr>
                <w:rFonts w:ascii="Cambria Math" w:hAnsi="Cambria Math"/>
              </w:rPr>
              <m:t xml:space="preserve">T  </m:t>
            </m:r>
          </m:sub>
          <m:sup>
            <m:r>
              <w:rPr>
                <w:rFonts w:ascii="Cambria Math" w:hAnsi="Cambria Math"/>
              </w:rPr>
              <m:t>F</m:t>
            </m:r>
          </m:sup>
        </m:sSubSup>
      </m:oMath>
      <w:r>
        <w:t xml:space="preserve">, depending on whether the simulation of the examination is performed on the male or female phantom. As described in previous sections, the effective dose coefficient for an examination can be obtained by taking the average of the two. </w:t>
      </w:r>
    </w:p>
    <w:p w14:paraId="24D3F967" w14:textId="77777777" w:rsidR="00E72CA9" w:rsidRDefault="00D516E3">
      <w:pPr>
        <w:pStyle w:val="ICRPnumberedparagraph"/>
        <w:ind w:left="0"/>
      </w:pPr>
      <w:r>
        <w:t>The publication is aimed at all those who have an interest in patient dosimetry and optimisation, including national authorities responsible for dose calculations, medical physicists, research scientists, radiologists, radiographers and other radiological practitioners. For those readers who prefer an ‘off the shelf’ solution, dose coefficients are provided for a range of examinations and projections for a selection of common beam qualities. The dose coefficients are normalised to fluence, air kerma at 1 m and KAP.  They can be easily accessed using the dose viewer or from the electronic annex, as described in Annex D and Section 6 which provides worked examples. For those users who prefer to either fine-tune their results or explore the impact of novel beam qualities, monoenergetic coefficients are provided at 1 keV intervals in the electronic annex. These coefficients can be convolved with any x-ray spectrum the user chooses to derive the appropriate dose coefficients. Step by step instructions on this process are given in Section 6.2.</w:t>
      </w:r>
      <w:r>
        <w:rPr>
          <w:rFonts w:hint="eastAsia"/>
        </w:rPr>
        <w:t xml:space="preserve"> </w:t>
      </w:r>
    </w:p>
    <w:p w14:paraId="7313AEF8" w14:textId="77777777" w:rsidR="00E72CA9" w:rsidRDefault="00D516E3">
      <w:pPr>
        <w:pStyle w:val="ICRPnumberedparagraph"/>
        <w:ind w:left="0"/>
      </w:pPr>
      <w:r>
        <w:t xml:space="preserve">Uncertainties in the dose estimates resulting from factors such as phantoms, field size, Monte Carlo simulations, field positioning and the measurement of normalising quantities have all been discussed in Section 7, as have limitations in the interpretation of results. It is important to realise that these uncertainties and limitations cannot be ignored and should always be </w:t>
      </w:r>
      <w:proofErr w:type="gramStart"/>
      <w:r>
        <w:t>taken into account</w:t>
      </w:r>
      <w:proofErr w:type="gramEnd"/>
      <w:r>
        <w:t xml:space="preserve"> when using the methodology to evaluate patient doses.  A good understanding of </w:t>
      </w:r>
      <w:r>
        <w:lastRenderedPageBreak/>
        <w:t xml:space="preserve">the underlying principles is essential to avoid assigning a degree of precision to the dose estimates that is misleadingly high. </w:t>
      </w:r>
      <w:r>
        <w:rPr>
          <w:szCs w:val="24"/>
        </w:rPr>
        <w:br w:type="page"/>
      </w:r>
    </w:p>
    <w:p w14:paraId="552C5608" w14:textId="77777777" w:rsidR="00E72CA9" w:rsidRDefault="00D516E3">
      <w:pPr>
        <w:pStyle w:val="Heading1nonumbering"/>
        <w:outlineLvl w:val="0"/>
      </w:pPr>
      <w:bookmarkStart w:id="153" w:name="_Toc165302055"/>
      <w:r>
        <w:lastRenderedPageBreak/>
        <w:t>References</w:t>
      </w:r>
      <w:bookmarkEnd w:id="153"/>
    </w:p>
    <w:p w14:paraId="20ED4727" w14:textId="77777777" w:rsidR="00E72CA9" w:rsidRDefault="00D516E3">
      <w:pPr>
        <w:pStyle w:val="EndNoteBibliography"/>
        <w:ind w:left="284" w:hanging="284"/>
        <w:rPr>
          <w:sz w:val="22"/>
          <w:szCs w:val="22"/>
        </w:rPr>
      </w:pPr>
      <w:r>
        <w:rPr>
          <w:i/>
          <w:sz w:val="22"/>
          <w:szCs w:val="22"/>
        </w:rPr>
        <w:fldChar w:fldCharType="begin"/>
      </w:r>
      <w:r>
        <w:rPr>
          <w:i/>
          <w:sz w:val="22"/>
          <w:szCs w:val="22"/>
        </w:rPr>
        <w:instrText xml:space="preserve"> ADDIN EN.REFLIST </w:instrText>
      </w:r>
      <w:r>
        <w:rPr>
          <w:i/>
          <w:sz w:val="22"/>
          <w:szCs w:val="22"/>
        </w:rPr>
        <w:fldChar w:fldCharType="separate"/>
      </w:r>
      <w:r>
        <w:rPr>
          <w:sz w:val="22"/>
          <w:szCs w:val="22"/>
        </w:rPr>
        <w:t>Agostinelli, S., Allison, J., Amako, K., et al., 2003. Geant4—a simulation toolkit. Nucl. Instrum. Methods Phys. Res. A. 506, 250–303.</w:t>
      </w:r>
    </w:p>
    <w:p w14:paraId="49CF5944" w14:textId="77777777" w:rsidR="00E72CA9" w:rsidRDefault="00D516E3">
      <w:pPr>
        <w:pStyle w:val="EndNoteBibliography"/>
        <w:ind w:left="284" w:hanging="284"/>
        <w:rPr>
          <w:sz w:val="22"/>
          <w:szCs w:val="22"/>
        </w:rPr>
      </w:pPr>
      <w:r>
        <w:rPr>
          <w:sz w:val="22"/>
          <w:szCs w:val="22"/>
        </w:rPr>
        <w:t>Allison, J., Amako, K., Apostolakis, J., et al., 2016. Recent developments in Geant4. Nucl. Instrum. Methods Phys. Res. A. 835, 186–225.</w:t>
      </w:r>
    </w:p>
    <w:p w14:paraId="32A06517" w14:textId="77777777" w:rsidR="00E72CA9" w:rsidRDefault="00D516E3">
      <w:pPr>
        <w:pStyle w:val="EndNoteBibliography"/>
        <w:ind w:left="284" w:hanging="284"/>
        <w:rPr>
          <w:sz w:val="22"/>
          <w:szCs w:val="22"/>
        </w:rPr>
      </w:pPr>
      <w:r>
        <w:rPr>
          <w:sz w:val="22"/>
          <w:szCs w:val="22"/>
        </w:rPr>
        <w:t xml:space="preserve">Berger, M.J., Hubbell, J.H., 1987. XCOM: photon cross sections on a personal computer. NBSIR 87-3597. National Bureau of Standards, Gaithersburg, MD. </w:t>
      </w:r>
    </w:p>
    <w:p w14:paraId="4E52DF99" w14:textId="77777777" w:rsidR="00E72CA9" w:rsidRDefault="00D516E3">
      <w:pPr>
        <w:pStyle w:val="EndNoteBibliography"/>
        <w:ind w:left="284" w:hanging="284"/>
        <w:rPr>
          <w:sz w:val="22"/>
          <w:szCs w:val="22"/>
        </w:rPr>
      </w:pPr>
      <w:r>
        <w:rPr>
          <w:sz w:val="22"/>
          <w:szCs w:val="22"/>
        </w:rPr>
        <w:t>Cassola, V.F., de Melo Lima, V.J., Kramer, R., et al., 2010. FASH and MASH: female and male adult human phantoms based on polygon mesh surfaces: I. Development of the anatomy. Phys. Med. Biol.  55, 133–162.</w:t>
      </w:r>
    </w:p>
    <w:p w14:paraId="5C58CBEB" w14:textId="77777777" w:rsidR="00E72CA9" w:rsidRDefault="00D516E3">
      <w:pPr>
        <w:pStyle w:val="EndNoteBibliography"/>
        <w:ind w:left="284" w:hanging="284"/>
        <w:rPr>
          <w:sz w:val="22"/>
          <w:szCs w:val="22"/>
        </w:rPr>
      </w:pPr>
      <w:r>
        <w:rPr>
          <w:sz w:val="22"/>
          <w:szCs w:val="22"/>
        </w:rPr>
        <w:t xml:space="preserve">Cristy, M., Eckerman, K.F., 1987. Specific absorbed fractions of energy at various ages from internal photon sources, Part I-VII. ORNL Report TM-8381/V1-TM-8381/V7. Oak Ridge National Laboratory, Oak Ridge, TN. </w:t>
      </w:r>
    </w:p>
    <w:p w14:paraId="5593E052" w14:textId="77777777" w:rsidR="00E72CA9" w:rsidRDefault="00D516E3">
      <w:pPr>
        <w:pStyle w:val="EndNoteBibliography"/>
        <w:ind w:left="284" w:hanging="284"/>
        <w:rPr>
          <w:sz w:val="22"/>
          <w:szCs w:val="22"/>
        </w:rPr>
      </w:pPr>
      <w:r>
        <w:rPr>
          <w:sz w:val="22"/>
          <w:szCs w:val="22"/>
        </w:rPr>
        <w:t xml:space="preserve">Cullen, D., H. Hubbell, J., Kissel, L., 1997. EPDL97: the evaluated photo data library `97 version. Lawrence Livermore National Laboratory, Livermore, CA. </w:t>
      </w:r>
    </w:p>
    <w:p w14:paraId="25117D7C" w14:textId="77777777" w:rsidR="00E72CA9" w:rsidRDefault="00D516E3">
      <w:pPr>
        <w:pStyle w:val="EndNoteBibliography"/>
        <w:ind w:left="284" w:hanging="284"/>
        <w:rPr>
          <w:sz w:val="22"/>
          <w:szCs w:val="22"/>
        </w:rPr>
      </w:pPr>
      <w:r>
        <w:rPr>
          <w:sz w:val="22"/>
          <w:szCs w:val="22"/>
        </w:rPr>
        <w:t>Dorfman, A.L., Fazel, R., Einstein, A.J., et al., 2011. Use of Medical Imaging Procedures With Ionizing Radiation in Children: A Population-Based Study. Arch. Pediatr. Adolesc. Med. 165, 458-464.</w:t>
      </w:r>
    </w:p>
    <w:p w14:paraId="2B07D3C4" w14:textId="77777777" w:rsidR="00E72CA9" w:rsidRDefault="00D516E3">
      <w:pPr>
        <w:pStyle w:val="EndNoteBibliography"/>
        <w:ind w:left="284" w:hanging="284"/>
        <w:rPr>
          <w:sz w:val="22"/>
          <w:szCs w:val="22"/>
        </w:rPr>
      </w:pPr>
      <w:r>
        <w:rPr>
          <w:sz w:val="22"/>
          <w:szCs w:val="22"/>
        </w:rPr>
        <w:t>Drexler, G., Panzer, W., Widenmann, L., et al., 1985. Die Bestimmung von Organdosen in der Röntgendiagnostik. H. Hoffmann Verlag.</w:t>
      </w:r>
    </w:p>
    <w:p w14:paraId="6653D83F" w14:textId="77777777" w:rsidR="00E72CA9" w:rsidRDefault="00D516E3">
      <w:pPr>
        <w:pStyle w:val="EndNoteBibliography"/>
        <w:ind w:left="284" w:hanging="284"/>
        <w:rPr>
          <w:sz w:val="22"/>
          <w:szCs w:val="22"/>
        </w:rPr>
      </w:pPr>
      <w:r>
        <w:rPr>
          <w:sz w:val="22"/>
          <w:szCs w:val="22"/>
        </w:rPr>
        <w:t xml:space="preserve">Drexler, G., Panzer, W., Widenmann, L., et al., 1990. The calculation of dose from external photon exposures using reference human phantoms and Monte Carlo methods, Part III: Organ doses in x-ray diagnosis. GSF-Report 11/90. GSF - National Research Center for Environment and Health, Neuherberg. </w:t>
      </w:r>
    </w:p>
    <w:p w14:paraId="399BE51E" w14:textId="77777777" w:rsidR="00E72CA9" w:rsidRDefault="00D516E3">
      <w:pPr>
        <w:pStyle w:val="EndNoteBibliography"/>
        <w:ind w:left="284" w:hanging="284"/>
        <w:rPr>
          <w:sz w:val="22"/>
          <w:szCs w:val="22"/>
        </w:rPr>
      </w:pPr>
      <w:r>
        <w:rPr>
          <w:sz w:val="22"/>
          <w:szCs w:val="22"/>
        </w:rPr>
        <w:t>Drexler, G., Panzer, W., Stieve, F.-E., et al., 1993. Die Bestimmung von Organdosen in der Röntgendiagnostik. H. Hoffmann Verlag, Berlin.</w:t>
      </w:r>
    </w:p>
    <w:p w14:paraId="2CB18FE2" w14:textId="77777777" w:rsidR="00E72CA9" w:rsidRDefault="00D516E3">
      <w:pPr>
        <w:pStyle w:val="EndNoteBibliography"/>
        <w:ind w:left="284" w:hanging="284"/>
        <w:rPr>
          <w:sz w:val="22"/>
          <w:szCs w:val="22"/>
        </w:rPr>
      </w:pPr>
      <w:r>
        <w:rPr>
          <w:sz w:val="22"/>
          <w:szCs w:val="22"/>
        </w:rPr>
        <w:t xml:space="preserve">European Commission, 2014. Medical Radiation Exposure of the European Population; Part 1/2. European Commission, Brussel. </w:t>
      </w:r>
    </w:p>
    <w:p w14:paraId="32E99EBA" w14:textId="77777777" w:rsidR="00E72CA9" w:rsidRDefault="00D516E3">
      <w:pPr>
        <w:pStyle w:val="EndNoteBibliography"/>
        <w:ind w:left="284" w:hanging="284"/>
        <w:rPr>
          <w:sz w:val="22"/>
          <w:szCs w:val="22"/>
        </w:rPr>
      </w:pPr>
      <w:r>
        <w:rPr>
          <w:sz w:val="22"/>
          <w:szCs w:val="22"/>
        </w:rPr>
        <w:t xml:space="preserve">European Commission, 2018. European guidelines on diagnostic reference levels for paediatric imaging. Report 185. European Commission, Brussel. </w:t>
      </w:r>
    </w:p>
    <w:p w14:paraId="477B264D" w14:textId="77777777" w:rsidR="00E72CA9" w:rsidRDefault="00D516E3">
      <w:pPr>
        <w:pStyle w:val="EndNoteBibliography"/>
        <w:ind w:left="284" w:hanging="284"/>
        <w:rPr>
          <w:sz w:val="22"/>
          <w:szCs w:val="22"/>
        </w:rPr>
      </w:pPr>
      <w:r>
        <w:rPr>
          <w:sz w:val="22"/>
          <w:szCs w:val="22"/>
        </w:rPr>
        <w:t xml:space="preserve">Hart, D., Jones, D.G., Wall, B.F., 1994a. Normalised organ doses for medical x-ray examinations calculated using Monte Carlo techniques. NRPB-SR-262. National Radiological Protection Board, Chilton. </w:t>
      </w:r>
    </w:p>
    <w:p w14:paraId="5A7944EB" w14:textId="77777777" w:rsidR="00E72CA9" w:rsidRDefault="00D516E3">
      <w:pPr>
        <w:pStyle w:val="EndNoteBibliography"/>
        <w:ind w:left="284" w:hanging="284"/>
        <w:rPr>
          <w:sz w:val="22"/>
          <w:szCs w:val="22"/>
        </w:rPr>
      </w:pPr>
      <w:r>
        <w:rPr>
          <w:sz w:val="22"/>
          <w:szCs w:val="22"/>
        </w:rPr>
        <w:t xml:space="preserve">Hart, D., Jones, D.G., Wall, B.F., 1994b. Estimation of effective dose in diagnostic radiology from entrance surface dose and dose-area product measurements. NRPB-R-262. National Radiological Protection Board, Chilton. </w:t>
      </w:r>
    </w:p>
    <w:p w14:paraId="7955C941" w14:textId="77777777" w:rsidR="00E72CA9" w:rsidRDefault="00D516E3">
      <w:pPr>
        <w:pStyle w:val="EndNoteBibliography"/>
        <w:ind w:left="284" w:hanging="284"/>
        <w:rPr>
          <w:sz w:val="22"/>
          <w:szCs w:val="22"/>
        </w:rPr>
      </w:pPr>
      <w:r>
        <w:rPr>
          <w:sz w:val="22"/>
          <w:szCs w:val="22"/>
        </w:rPr>
        <w:t xml:space="preserve">Hart, D., Jones, D.G., Wall, B.F., 1996a. Normalised organ doses for paediatric x-ray examinations calculated using Monte Carlo techniques. NRPB-SR-279, National Radiological Protection Board, Chilton, Didcot, UK. </w:t>
      </w:r>
    </w:p>
    <w:p w14:paraId="6B16B34E" w14:textId="77777777" w:rsidR="00E72CA9" w:rsidRDefault="00D516E3">
      <w:pPr>
        <w:pStyle w:val="EndNoteBibliography"/>
        <w:ind w:left="284" w:hanging="284"/>
        <w:rPr>
          <w:sz w:val="22"/>
          <w:szCs w:val="22"/>
        </w:rPr>
      </w:pPr>
      <w:r>
        <w:rPr>
          <w:sz w:val="22"/>
          <w:szCs w:val="22"/>
        </w:rPr>
        <w:t xml:space="preserve">Hart, D., Jones, D.G., Wall, B.F., 1996b. Coefficients for estimating effective doses from paediatric x-ray examinations. NRPB-R-279. National Radiological Protection Board, Chilton, Didcot, UK. </w:t>
      </w:r>
    </w:p>
    <w:p w14:paraId="60E9985E" w14:textId="77777777" w:rsidR="00E72CA9" w:rsidRDefault="00D516E3">
      <w:pPr>
        <w:pStyle w:val="EndNoteBibliography"/>
        <w:ind w:left="284" w:hanging="284"/>
        <w:rPr>
          <w:sz w:val="22"/>
          <w:szCs w:val="22"/>
        </w:rPr>
      </w:pPr>
      <w:r>
        <w:rPr>
          <w:sz w:val="22"/>
          <w:szCs w:val="22"/>
        </w:rPr>
        <w:t xml:space="preserve">Hart, D., Wall, B.F., M.C., H., et al., 2010. Frequency and collective doses for medical and dental x-ray examinataions in the UK, 2008 (HPA-CRCE-012). Health Protection Agency, Chilton.  Available at: </w:t>
      </w:r>
      <w:r>
        <w:t>https://www.gov.uk/government/publications/medical-and-dental-x-rays-frequency-and-collective-doses-in-the-uk</w:t>
      </w:r>
      <w:r>
        <w:rPr>
          <w:sz w:val="22"/>
          <w:szCs w:val="22"/>
        </w:rPr>
        <w:t xml:space="preserve"> (last accessed 9 February 2024). </w:t>
      </w:r>
    </w:p>
    <w:p w14:paraId="7C8730AD" w14:textId="77777777" w:rsidR="00E72CA9" w:rsidRDefault="00D516E3">
      <w:pPr>
        <w:pStyle w:val="EndNoteBibliography"/>
        <w:ind w:left="284" w:hanging="284"/>
        <w:rPr>
          <w:sz w:val="22"/>
          <w:szCs w:val="22"/>
        </w:rPr>
      </w:pPr>
      <w:r>
        <w:rPr>
          <w:sz w:val="22"/>
          <w:szCs w:val="22"/>
        </w:rPr>
        <w:t>Hough, M., Johnson, P., Rajon, D., et al., 2011. An image-based skeletal dosimetry model for the ICRP reference adult male—internal electron sources. Phys. Med. Biol. 56, 2309–2346.</w:t>
      </w:r>
    </w:p>
    <w:p w14:paraId="69635794" w14:textId="77777777" w:rsidR="00E72CA9" w:rsidRDefault="00D516E3">
      <w:pPr>
        <w:pStyle w:val="EndNoteBibliography"/>
        <w:ind w:left="284" w:hanging="284"/>
        <w:rPr>
          <w:sz w:val="22"/>
          <w:szCs w:val="22"/>
        </w:rPr>
      </w:pPr>
      <w:r>
        <w:rPr>
          <w:sz w:val="22"/>
          <w:szCs w:val="22"/>
        </w:rPr>
        <w:t>Hourdakis, C.J., Boziari, A., Manetou, A., 2010. PERFORMANCE EVALUATION OF DIAGNOSTIC RADIOLOGY DOSIMETERS IN CLINICAL AND CALIBRATION X-RAY BEAMS. Health Phys. 98, 704–716.</w:t>
      </w:r>
    </w:p>
    <w:p w14:paraId="2323B6FD" w14:textId="77777777" w:rsidR="00E72CA9" w:rsidRDefault="00D516E3">
      <w:pPr>
        <w:pStyle w:val="EndNoteBibliography"/>
        <w:ind w:left="284" w:hanging="284"/>
        <w:rPr>
          <w:sz w:val="22"/>
          <w:szCs w:val="22"/>
        </w:rPr>
      </w:pPr>
      <w:r>
        <w:rPr>
          <w:sz w:val="22"/>
          <w:szCs w:val="22"/>
        </w:rPr>
        <w:t xml:space="preserve">IAEA, T., 2007. 457 2007 Dosimetry in diagnostic radiology: An international code of practice ISSN 0074-1914. Technical Reports Series No 457. International Atomic Energy Agency, Vienna.   </w:t>
      </w:r>
    </w:p>
    <w:p w14:paraId="2C2FC2CE" w14:textId="77777777" w:rsidR="00E72CA9" w:rsidRDefault="00D516E3">
      <w:pPr>
        <w:pStyle w:val="EndNoteBibliography"/>
        <w:ind w:left="284" w:hanging="284"/>
        <w:rPr>
          <w:sz w:val="22"/>
          <w:szCs w:val="22"/>
        </w:rPr>
      </w:pPr>
      <w:r>
        <w:rPr>
          <w:sz w:val="22"/>
          <w:szCs w:val="22"/>
        </w:rPr>
        <w:lastRenderedPageBreak/>
        <w:t xml:space="preserve">ICRP, 1975. Reference man: Anatomical, physiological and metabolic characteristics. ICRP Publication 23, Pergamon Press, Oxford. </w:t>
      </w:r>
    </w:p>
    <w:p w14:paraId="3F5129D5" w14:textId="77777777" w:rsidR="00E72CA9" w:rsidRDefault="00D516E3">
      <w:pPr>
        <w:pStyle w:val="EndNoteBibliography"/>
        <w:ind w:left="284" w:hanging="284"/>
        <w:rPr>
          <w:sz w:val="22"/>
          <w:szCs w:val="22"/>
        </w:rPr>
      </w:pPr>
      <w:r>
        <w:rPr>
          <w:sz w:val="22"/>
          <w:szCs w:val="22"/>
        </w:rPr>
        <w:t xml:space="preserve">ICRP, 1987. Protection of the patient in nuclear medicine. ICRP Publication 52. Ann. ICRP 17(4). </w:t>
      </w:r>
    </w:p>
    <w:p w14:paraId="27BEB7C8" w14:textId="77777777" w:rsidR="00E72CA9" w:rsidRDefault="00D516E3">
      <w:pPr>
        <w:pStyle w:val="EndNoteBibliography"/>
        <w:ind w:left="284" w:hanging="284"/>
        <w:rPr>
          <w:sz w:val="22"/>
          <w:szCs w:val="22"/>
        </w:rPr>
      </w:pPr>
      <w:r>
        <w:rPr>
          <w:sz w:val="22"/>
          <w:szCs w:val="22"/>
        </w:rPr>
        <w:t xml:space="preserve">ICRP, 1991a. Radiation dose to patients from radiopharmaceuticals. Addendum 1 to ICRP Publication 53. ICRP Publication 62. Ann. ICRP 22(3). </w:t>
      </w:r>
    </w:p>
    <w:p w14:paraId="5A9D409B" w14:textId="77777777" w:rsidR="00E72CA9" w:rsidRDefault="00D516E3">
      <w:pPr>
        <w:pStyle w:val="EndNoteBibliography"/>
        <w:ind w:left="284" w:hanging="284"/>
        <w:rPr>
          <w:sz w:val="22"/>
          <w:szCs w:val="22"/>
        </w:rPr>
      </w:pPr>
      <w:bookmarkStart w:id="154" w:name="_Hlk158392318"/>
      <w:r>
        <w:rPr>
          <w:sz w:val="22"/>
          <w:szCs w:val="22"/>
        </w:rPr>
        <w:t>ICRP, 1991b. 1990 Recommendations of the International Commission on Radiological Protection. ICRP Publication ICRP Publication 60. Ann. ICRP 21(1–3).</w:t>
      </w:r>
    </w:p>
    <w:bookmarkEnd w:id="154"/>
    <w:p w14:paraId="5DC4690D" w14:textId="77777777" w:rsidR="00E72CA9" w:rsidRDefault="00D516E3">
      <w:pPr>
        <w:pStyle w:val="EndNoteBibliography"/>
        <w:ind w:left="284" w:hanging="284"/>
        <w:rPr>
          <w:sz w:val="22"/>
          <w:szCs w:val="22"/>
        </w:rPr>
      </w:pPr>
      <w:r>
        <w:rPr>
          <w:sz w:val="22"/>
          <w:szCs w:val="22"/>
        </w:rPr>
        <w:t>ICRP, 1992. Radiological Protection in Biomedical Research. . ICRP Publication 62. Ann. ICRP 22 (3).</w:t>
      </w:r>
    </w:p>
    <w:p w14:paraId="52FF0365" w14:textId="77777777" w:rsidR="00E72CA9" w:rsidRDefault="00D516E3">
      <w:pPr>
        <w:pStyle w:val="EndNoteBibliography"/>
        <w:ind w:left="284" w:hanging="284"/>
        <w:rPr>
          <w:sz w:val="22"/>
          <w:szCs w:val="22"/>
        </w:rPr>
      </w:pPr>
      <w:r>
        <w:rPr>
          <w:sz w:val="22"/>
          <w:szCs w:val="22"/>
        </w:rPr>
        <w:t>ICRP, 1995. Basic anatomical and physiological data for use in radiological protection: the skeleton. ICRP Publication 70. Ann. ICRP 25(2)</w:t>
      </w:r>
    </w:p>
    <w:p w14:paraId="1C321435" w14:textId="77777777" w:rsidR="00E72CA9" w:rsidRDefault="00D516E3">
      <w:pPr>
        <w:pStyle w:val="EndNoteBibliography"/>
        <w:ind w:left="284" w:hanging="284"/>
        <w:rPr>
          <w:sz w:val="22"/>
          <w:szCs w:val="22"/>
        </w:rPr>
      </w:pPr>
      <w:r>
        <w:rPr>
          <w:sz w:val="22"/>
          <w:szCs w:val="22"/>
        </w:rPr>
        <w:t xml:space="preserve">ICRP, 1998. Radiation dose to patients from radiopharmaceuticals. ICRP Publication 80. Ann. ICRP 28(3), </w:t>
      </w:r>
    </w:p>
    <w:p w14:paraId="483DF8EA" w14:textId="77777777" w:rsidR="00E72CA9" w:rsidRDefault="00D516E3">
      <w:pPr>
        <w:pStyle w:val="EndNoteBibliography"/>
        <w:ind w:left="284" w:hanging="284"/>
        <w:rPr>
          <w:sz w:val="22"/>
          <w:szCs w:val="22"/>
        </w:rPr>
      </w:pPr>
      <w:r>
        <w:rPr>
          <w:sz w:val="22"/>
          <w:szCs w:val="22"/>
        </w:rPr>
        <w:t>ICRP, 2001. Doses to the embryo and fetus from intakes of radionuclides by the mother. ICRP Publication 88. Ann. ICRP 31(1–3)</w:t>
      </w:r>
    </w:p>
    <w:p w14:paraId="0C8303AD" w14:textId="77777777" w:rsidR="00E72CA9" w:rsidRDefault="00D516E3">
      <w:pPr>
        <w:pStyle w:val="EndNoteBibliography"/>
        <w:ind w:left="284" w:hanging="284"/>
        <w:rPr>
          <w:sz w:val="22"/>
          <w:szCs w:val="22"/>
        </w:rPr>
      </w:pPr>
      <w:r>
        <w:rPr>
          <w:sz w:val="22"/>
          <w:szCs w:val="22"/>
        </w:rPr>
        <w:t>ICRP, 2002. Basic anatomical and physiological data for use in radiological protection: reference values. ICRP publication 89. Ann. ICRP 32(3–4).</w:t>
      </w:r>
    </w:p>
    <w:p w14:paraId="1930AF15" w14:textId="77777777" w:rsidR="00E72CA9" w:rsidRDefault="00D516E3">
      <w:pPr>
        <w:pStyle w:val="EndNoteBibliography"/>
        <w:ind w:left="284" w:hanging="284"/>
        <w:rPr>
          <w:sz w:val="22"/>
          <w:szCs w:val="22"/>
        </w:rPr>
      </w:pPr>
      <w:r>
        <w:rPr>
          <w:sz w:val="22"/>
          <w:szCs w:val="22"/>
        </w:rPr>
        <w:t>ICRP, 2004. Doses to infants from radionuclides ingested in mothers’ milk. ICPR Publication 95. Ann. ICRP 34(3–4).</w:t>
      </w:r>
    </w:p>
    <w:p w14:paraId="7BB98B0C" w14:textId="77777777" w:rsidR="00E72CA9" w:rsidRDefault="00D516E3">
      <w:pPr>
        <w:pStyle w:val="EndNoteBibliography"/>
        <w:ind w:left="284" w:hanging="284"/>
        <w:rPr>
          <w:sz w:val="22"/>
          <w:szCs w:val="22"/>
        </w:rPr>
      </w:pPr>
      <w:r>
        <w:rPr>
          <w:sz w:val="22"/>
          <w:szCs w:val="22"/>
        </w:rPr>
        <w:t>ICRP, 2006. Assessing Dose of the Representative Person for the Purpose of the Radiation Protection of the Public. ICRP Publication 101a. Ann. ICRP 36 (3).</w:t>
      </w:r>
    </w:p>
    <w:p w14:paraId="18184412" w14:textId="77777777" w:rsidR="00E72CA9" w:rsidRDefault="00D516E3">
      <w:pPr>
        <w:pStyle w:val="EndNoteBibliography"/>
        <w:ind w:left="284" w:hanging="284"/>
        <w:rPr>
          <w:sz w:val="22"/>
          <w:szCs w:val="22"/>
        </w:rPr>
      </w:pPr>
      <w:r>
        <w:rPr>
          <w:sz w:val="22"/>
          <w:szCs w:val="22"/>
        </w:rPr>
        <w:t xml:space="preserve">ICRP, 2007a. Managing patient dose in multi-detector computed tomography (MDCT). ICRP Publication 102. Ann. ICRP 37(1). </w:t>
      </w:r>
    </w:p>
    <w:p w14:paraId="75F831FD" w14:textId="77777777" w:rsidR="00E72CA9" w:rsidRDefault="00D516E3">
      <w:pPr>
        <w:pStyle w:val="EndNoteBibliography"/>
        <w:ind w:left="284" w:hanging="284"/>
        <w:rPr>
          <w:sz w:val="22"/>
          <w:szCs w:val="22"/>
        </w:rPr>
      </w:pPr>
      <w:r>
        <w:rPr>
          <w:sz w:val="22"/>
          <w:szCs w:val="22"/>
        </w:rPr>
        <w:t>ICRP, 2007b. The 2007 Recommendations of the International Commission on Radiological Protection. ICRP Publication ICRP Publication 103. Ann. ICRP 37(2–4).</w:t>
      </w:r>
    </w:p>
    <w:p w14:paraId="4DA2B3BD" w14:textId="77777777" w:rsidR="00E72CA9" w:rsidRDefault="00D516E3">
      <w:pPr>
        <w:pStyle w:val="EndNoteBibliography"/>
        <w:ind w:left="284" w:hanging="284"/>
        <w:rPr>
          <w:sz w:val="22"/>
          <w:szCs w:val="22"/>
        </w:rPr>
      </w:pPr>
      <w:r>
        <w:rPr>
          <w:sz w:val="22"/>
          <w:szCs w:val="22"/>
        </w:rPr>
        <w:t>ICRP, 2008. Radiation dose to patients from radiopharmaceuticals. ICRP Publication ICRP Publication 106. Ann. ICRP 38(1–2).</w:t>
      </w:r>
    </w:p>
    <w:p w14:paraId="75D64B2C" w14:textId="77777777" w:rsidR="00E72CA9" w:rsidRDefault="00D516E3">
      <w:pPr>
        <w:pStyle w:val="EndNoteBibliography"/>
        <w:ind w:left="284" w:hanging="284"/>
        <w:rPr>
          <w:sz w:val="22"/>
          <w:szCs w:val="22"/>
        </w:rPr>
      </w:pPr>
      <w:r>
        <w:rPr>
          <w:sz w:val="22"/>
          <w:szCs w:val="22"/>
        </w:rPr>
        <w:t>ICRP, 2009. Adult reference computational phantoms. ICRP Publication ICRP Publication 110. Ann. ICRP 39(2).</w:t>
      </w:r>
    </w:p>
    <w:p w14:paraId="390EDE4E" w14:textId="77777777" w:rsidR="00E72CA9" w:rsidRDefault="00D516E3">
      <w:pPr>
        <w:pStyle w:val="EndNoteBibliography"/>
        <w:ind w:left="284" w:hanging="284"/>
        <w:rPr>
          <w:sz w:val="22"/>
          <w:szCs w:val="22"/>
        </w:rPr>
      </w:pPr>
      <w:r>
        <w:rPr>
          <w:sz w:val="22"/>
          <w:szCs w:val="22"/>
        </w:rPr>
        <w:t xml:space="preserve">ICRP, 2010. Conversion Coefficients for Radiological Protection Quantities for External Radiation Exposures. ICRP Publication 116. Ann. ICRP 40(2–5). </w:t>
      </w:r>
    </w:p>
    <w:p w14:paraId="0A7331FA" w14:textId="77777777" w:rsidR="00E72CA9" w:rsidRDefault="00D516E3">
      <w:pPr>
        <w:pStyle w:val="EndNoteBibliography"/>
        <w:ind w:left="284" w:hanging="284"/>
        <w:rPr>
          <w:sz w:val="22"/>
          <w:szCs w:val="22"/>
        </w:rPr>
      </w:pPr>
      <w:r>
        <w:rPr>
          <w:sz w:val="22"/>
          <w:szCs w:val="22"/>
        </w:rPr>
        <w:t>ICRP, 2013. Assessment of Radiation Exposure of Astronauts in Space. ICRP Publication 123. Ann. ICRP 42(4).</w:t>
      </w:r>
    </w:p>
    <w:p w14:paraId="0050FCEB" w14:textId="77777777" w:rsidR="00E72CA9" w:rsidRDefault="00D516E3">
      <w:pPr>
        <w:pStyle w:val="EndNoteBibliography"/>
        <w:ind w:left="284" w:hanging="284"/>
        <w:rPr>
          <w:sz w:val="22"/>
          <w:szCs w:val="22"/>
        </w:rPr>
      </w:pPr>
      <w:r>
        <w:rPr>
          <w:sz w:val="22"/>
          <w:szCs w:val="22"/>
        </w:rPr>
        <w:t xml:space="preserve">ICRP, 2015a. Occupational Intakes of Radionuclides: Part 1. ICRP Publication 130. Ann. ICRP 44(2). </w:t>
      </w:r>
    </w:p>
    <w:p w14:paraId="3E038695" w14:textId="77777777" w:rsidR="00E72CA9" w:rsidRDefault="00D516E3">
      <w:pPr>
        <w:pStyle w:val="EndNoteBibliography"/>
        <w:ind w:left="284" w:hanging="284"/>
        <w:rPr>
          <w:sz w:val="22"/>
          <w:szCs w:val="22"/>
        </w:rPr>
      </w:pPr>
      <w:r>
        <w:rPr>
          <w:sz w:val="22"/>
          <w:szCs w:val="22"/>
        </w:rPr>
        <w:t>ICRP, 2015b. Radiation Dose to Patients from Radiopharmaceuticals: A Compendium of Current Information Related to Frequently Used Substances. ICRP Publication ICRP Publication 128. Ann. ICRP 44(2S).</w:t>
      </w:r>
    </w:p>
    <w:p w14:paraId="284ED959" w14:textId="77777777" w:rsidR="00E72CA9" w:rsidRDefault="00D516E3">
      <w:pPr>
        <w:pStyle w:val="EndNoteBibliography"/>
        <w:ind w:left="284" w:hanging="284"/>
        <w:rPr>
          <w:sz w:val="22"/>
          <w:szCs w:val="22"/>
        </w:rPr>
      </w:pPr>
      <w:r>
        <w:rPr>
          <w:sz w:val="22"/>
          <w:szCs w:val="22"/>
        </w:rPr>
        <w:t>ICRP, 2016a. Occupational Intakes of Radionuclides: Part 2. ICRP Publication 134. Annals ICRP 45(3/4)</w:t>
      </w:r>
    </w:p>
    <w:p w14:paraId="73F4FDAD" w14:textId="77777777" w:rsidR="00E72CA9" w:rsidRDefault="00D516E3">
      <w:pPr>
        <w:pStyle w:val="EndNoteBibliography"/>
        <w:ind w:left="284" w:hanging="284"/>
        <w:rPr>
          <w:sz w:val="22"/>
          <w:szCs w:val="22"/>
        </w:rPr>
      </w:pPr>
      <w:r>
        <w:rPr>
          <w:sz w:val="22"/>
          <w:szCs w:val="22"/>
        </w:rPr>
        <w:t>ICRP, 2016b. The ICRP computational framework for internal dose assessment for reference adults: specific absorbed fractions. ICRP Publication 133. Ann. ICRP 45(2).</w:t>
      </w:r>
    </w:p>
    <w:p w14:paraId="18B4C797" w14:textId="77777777" w:rsidR="00E72CA9" w:rsidRDefault="00D516E3">
      <w:pPr>
        <w:pStyle w:val="EndNoteBibliography"/>
        <w:ind w:left="284" w:hanging="284"/>
        <w:rPr>
          <w:sz w:val="22"/>
          <w:szCs w:val="22"/>
        </w:rPr>
      </w:pPr>
      <w:r>
        <w:rPr>
          <w:sz w:val="22"/>
          <w:szCs w:val="22"/>
        </w:rPr>
        <w:t>ICRP, 2017. Occupational Intakes of Radionuclides: Part 3. ICRP Publication 137. Ann. ICRP 46(3–4).</w:t>
      </w:r>
    </w:p>
    <w:p w14:paraId="6A59BB81" w14:textId="77777777" w:rsidR="00E72CA9" w:rsidRDefault="00D516E3">
      <w:pPr>
        <w:pStyle w:val="EndNoteBibliography"/>
        <w:ind w:left="284" w:hanging="284"/>
        <w:rPr>
          <w:sz w:val="22"/>
          <w:szCs w:val="22"/>
        </w:rPr>
      </w:pPr>
      <w:r>
        <w:rPr>
          <w:sz w:val="22"/>
          <w:szCs w:val="22"/>
        </w:rPr>
        <w:t>ICRP, 2019. Occupational Intakes of Radionuclides: Part 4. ICRP Publication 141. Ann. ICRP 48(2–3).</w:t>
      </w:r>
    </w:p>
    <w:p w14:paraId="0F7B20ED" w14:textId="77777777" w:rsidR="00E72CA9" w:rsidRDefault="00D516E3">
      <w:pPr>
        <w:pStyle w:val="EndNoteBibliography"/>
        <w:ind w:left="284" w:hanging="284"/>
        <w:rPr>
          <w:sz w:val="22"/>
          <w:szCs w:val="22"/>
        </w:rPr>
      </w:pPr>
      <w:r>
        <w:rPr>
          <w:sz w:val="22"/>
          <w:szCs w:val="22"/>
        </w:rPr>
        <w:t xml:space="preserve">ICRP, 2020a. Dose coefficients for external exposures to environmental sources. ICRP Publication 144. Ann. ICRP 49(2), </w:t>
      </w:r>
    </w:p>
    <w:p w14:paraId="01AAEE81" w14:textId="77777777" w:rsidR="00E72CA9" w:rsidRDefault="00D516E3">
      <w:pPr>
        <w:pStyle w:val="EndNoteBibliography"/>
        <w:ind w:left="284" w:hanging="284"/>
        <w:rPr>
          <w:sz w:val="22"/>
          <w:szCs w:val="22"/>
        </w:rPr>
      </w:pPr>
      <w:r>
        <w:rPr>
          <w:sz w:val="22"/>
          <w:szCs w:val="22"/>
        </w:rPr>
        <w:t xml:space="preserve">ICRP, 2020b. Paediatric Reference Computational Phantoms. ICRP Publication 143. Ann. ICRP 49(1). </w:t>
      </w:r>
    </w:p>
    <w:p w14:paraId="158C8C81" w14:textId="77777777" w:rsidR="00E72CA9" w:rsidRDefault="00D516E3">
      <w:pPr>
        <w:pStyle w:val="EndNoteBibliography"/>
        <w:ind w:left="284" w:hanging="284"/>
        <w:rPr>
          <w:sz w:val="22"/>
          <w:szCs w:val="22"/>
        </w:rPr>
      </w:pPr>
      <w:r>
        <w:rPr>
          <w:sz w:val="22"/>
          <w:szCs w:val="22"/>
        </w:rPr>
        <w:t xml:space="preserve">ICRP, 2021. Use of Dose Quantities in Radiological Protection. ICRP Publication 147. Ann. ICRP 50(1). </w:t>
      </w:r>
    </w:p>
    <w:p w14:paraId="4BF6E8D6" w14:textId="77777777" w:rsidR="00E72CA9" w:rsidRDefault="00D516E3">
      <w:pPr>
        <w:pStyle w:val="EndNoteBibliography"/>
        <w:ind w:left="284" w:hanging="284"/>
        <w:rPr>
          <w:sz w:val="22"/>
          <w:szCs w:val="22"/>
        </w:rPr>
      </w:pPr>
      <w:r>
        <w:rPr>
          <w:sz w:val="22"/>
          <w:szCs w:val="22"/>
        </w:rPr>
        <w:t>ICRP, 2024a. Ethics in Radiological Protection for Patients in Diagnosis and Treatment. ICRP Publication 157, in press.</w:t>
      </w:r>
    </w:p>
    <w:p w14:paraId="5A4F3E85" w14:textId="77777777" w:rsidR="00E72CA9" w:rsidRDefault="00D516E3">
      <w:pPr>
        <w:pStyle w:val="EndNoteBibliography"/>
        <w:ind w:left="284" w:hanging="284"/>
        <w:rPr>
          <w:sz w:val="22"/>
          <w:szCs w:val="22"/>
        </w:rPr>
      </w:pPr>
      <w:r>
        <w:rPr>
          <w:sz w:val="22"/>
          <w:szCs w:val="22"/>
        </w:rPr>
        <w:t>ICRP, 2024b. Practical Aspects in Optimisation of Radiological Protection in Digital Radiography, Fluoroscopy, and CT. ICRP Publication, unpublished.</w:t>
      </w:r>
    </w:p>
    <w:p w14:paraId="2D1E59EC" w14:textId="77777777" w:rsidR="00E72CA9" w:rsidRDefault="00D516E3">
      <w:pPr>
        <w:pStyle w:val="EndNoteBibliography"/>
        <w:ind w:left="284" w:hanging="284"/>
        <w:rPr>
          <w:sz w:val="22"/>
          <w:szCs w:val="22"/>
        </w:rPr>
      </w:pPr>
      <w:r>
        <w:rPr>
          <w:sz w:val="22"/>
          <w:szCs w:val="22"/>
        </w:rPr>
        <w:lastRenderedPageBreak/>
        <w:t xml:space="preserve">ICRU, 1992. Photon, electron, proton and neutron interaction data for body tissues. ICRU Report 46. International Commission on Radiation Units and Measurements, Bethesda, MD. </w:t>
      </w:r>
    </w:p>
    <w:p w14:paraId="006C71E7" w14:textId="77777777" w:rsidR="00E72CA9" w:rsidRDefault="00D516E3">
      <w:pPr>
        <w:pStyle w:val="EndNoteBibliography"/>
        <w:ind w:left="284" w:hanging="284"/>
        <w:rPr>
          <w:sz w:val="22"/>
          <w:szCs w:val="22"/>
        </w:rPr>
      </w:pPr>
      <w:r>
        <w:rPr>
          <w:sz w:val="22"/>
          <w:szCs w:val="22"/>
        </w:rPr>
        <w:t xml:space="preserve">ICRU, 2005. Patient dosimetry for x rays used in medical imaging. ICRU Report 74. J. ICRU 5, </w:t>
      </w:r>
    </w:p>
    <w:p w14:paraId="5B5A631D" w14:textId="77777777" w:rsidR="00E72CA9" w:rsidRDefault="00D516E3">
      <w:pPr>
        <w:pStyle w:val="EndNoteBibliography"/>
        <w:ind w:left="284" w:hanging="284"/>
        <w:rPr>
          <w:sz w:val="22"/>
          <w:szCs w:val="22"/>
        </w:rPr>
      </w:pPr>
      <w:r>
        <w:rPr>
          <w:sz w:val="22"/>
          <w:szCs w:val="22"/>
        </w:rPr>
        <w:t xml:space="preserve">IEC, 2020. Medical Electrical Equipment - Dose Area Product Meters. IEC 60580:2020. International Electrotechnical Commission, Geneva. </w:t>
      </w:r>
    </w:p>
    <w:p w14:paraId="35993238" w14:textId="77777777" w:rsidR="00E72CA9" w:rsidRDefault="00D516E3">
      <w:pPr>
        <w:pStyle w:val="EndNoteBibliography"/>
        <w:ind w:left="284" w:hanging="284"/>
        <w:rPr>
          <w:sz w:val="22"/>
          <w:szCs w:val="22"/>
        </w:rPr>
      </w:pPr>
      <w:r>
        <w:rPr>
          <w:sz w:val="22"/>
          <w:szCs w:val="22"/>
        </w:rPr>
        <w:t xml:space="preserve">JCGM, 2008. International Vocabulary of metrology -Basic and general conepts and associated terms (VIM). Joint Committee for Guides in Metrology, Sévres. </w:t>
      </w:r>
    </w:p>
    <w:p w14:paraId="512855C0" w14:textId="77777777" w:rsidR="00E72CA9" w:rsidRDefault="00D516E3">
      <w:pPr>
        <w:pStyle w:val="EndNoteBibliography"/>
        <w:ind w:left="284" w:hanging="284"/>
        <w:rPr>
          <w:sz w:val="22"/>
          <w:szCs w:val="22"/>
        </w:rPr>
      </w:pPr>
      <w:r>
        <w:rPr>
          <w:sz w:val="22"/>
          <w:szCs w:val="22"/>
        </w:rPr>
        <w:t>Johnson, P.B., Bahadori, A.A., Eckerman, K.F., et al., 2011. Response functions for computing absorbed dose to skeletal tissues from photon irradiation - an update. Phys. Med. Biol. 56, 2347–2365.</w:t>
      </w:r>
    </w:p>
    <w:p w14:paraId="136E8490" w14:textId="77777777" w:rsidR="00E72CA9" w:rsidRDefault="00D516E3">
      <w:pPr>
        <w:pStyle w:val="EndNoteBibliography"/>
        <w:ind w:left="284" w:hanging="284"/>
        <w:rPr>
          <w:sz w:val="22"/>
          <w:szCs w:val="22"/>
        </w:rPr>
      </w:pPr>
      <w:r>
        <w:rPr>
          <w:sz w:val="22"/>
          <w:szCs w:val="22"/>
        </w:rPr>
        <w:t xml:space="preserve">Jones, D.G., Wall, B.F., 1985. Organ doses from medical x-ray examinations calculated using Monte Carlo techniques. NRPB Report 186. National Radiological Protection Board, Chilton. </w:t>
      </w:r>
    </w:p>
    <w:p w14:paraId="11E04BAD" w14:textId="77777777" w:rsidR="00E72CA9" w:rsidRDefault="00D516E3">
      <w:pPr>
        <w:pStyle w:val="EndNoteBibliography"/>
        <w:ind w:left="284" w:hanging="284"/>
        <w:rPr>
          <w:sz w:val="22"/>
          <w:szCs w:val="22"/>
        </w:rPr>
      </w:pPr>
      <w:r>
        <w:rPr>
          <w:sz w:val="22"/>
          <w:szCs w:val="22"/>
        </w:rPr>
        <w:t xml:space="preserve">Kawrakow, I., Mainegra-Hing, E., Rogers, D.W.O., et al., 2009. The EGSnrc code system: Monte Carlo simulation of electron and photon transport. PIRS Report 701. National Research Council of Canada, Ottawa. </w:t>
      </w:r>
    </w:p>
    <w:p w14:paraId="64C3EAA3" w14:textId="77777777" w:rsidR="00E72CA9" w:rsidRDefault="00D516E3">
      <w:pPr>
        <w:pStyle w:val="EndNoteBibliography"/>
        <w:ind w:left="284" w:hanging="284"/>
        <w:rPr>
          <w:sz w:val="22"/>
          <w:szCs w:val="22"/>
        </w:rPr>
      </w:pPr>
      <w:r>
        <w:rPr>
          <w:sz w:val="22"/>
          <w:szCs w:val="22"/>
        </w:rPr>
        <w:t>Kramer, R., Khoury, H.J., Vieira, J.W., 2008. CALDose_X-a software tool for the assessment of organ and tissue absorbed doses, effective dose and cancer risks in diagnostic radiology. Phys. Med. Biol. 53, 6437–6459.</w:t>
      </w:r>
    </w:p>
    <w:p w14:paraId="4B0D514C" w14:textId="77777777" w:rsidR="00E72CA9" w:rsidRDefault="00D516E3">
      <w:pPr>
        <w:pStyle w:val="EndNoteBibliography"/>
        <w:ind w:left="284" w:hanging="284"/>
        <w:rPr>
          <w:sz w:val="22"/>
          <w:szCs w:val="22"/>
        </w:rPr>
      </w:pPr>
      <w:r>
        <w:rPr>
          <w:sz w:val="22"/>
          <w:szCs w:val="22"/>
        </w:rPr>
        <w:t xml:space="preserve">Kramer, R., Zankl, M., Williams, G., et al., 1982. The calculation of dose from external photon exposures using reference human phantoms and Monte Carlo methods, Part I: The male (Adam) and female (Eva) adult mathematical phantoms. GSF-Report S-885. GSF - National Research Center for Environment and Health, Neuherberg. </w:t>
      </w:r>
    </w:p>
    <w:p w14:paraId="58F4A188" w14:textId="77777777" w:rsidR="00E72CA9" w:rsidRDefault="00D516E3">
      <w:pPr>
        <w:pStyle w:val="EndNoteBibliography"/>
        <w:ind w:left="284" w:hanging="284"/>
        <w:rPr>
          <w:sz w:val="22"/>
          <w:szCs w:val="22"/>
        </w:rPr>
      </w:pPr>
      <w:r>
        <w:rPr>
          <w:sz w:val="22"/>
          <w:szCs w:val="22"/>
        </w:rPr>
        <w:t>Kramer, R., Khoury, H.J., Vieira, J.W., et al., 2006. MAX06 and FAX06: update of two adult human phantoms for radiation protection dosimetry. Phys. Med. Biol. 51, 3331-3346.</w:t>
      </w:r>
    </w:p>
    <w:p w14:paraId="3BE5BED7" w14:textId="77777777" w:rsidR="00E72CA9" w:rsidRDefault="00D516E3">
      <w:pPr>
        <w:pStyle w:val="EndNoteBibliography"/>
        <w:ind w:left="284" w:hanging="284"/>
        <w:rPr>
          <w:sz w:val="22"/>
          <w:szCs w:val="22"/>
        </w:rPr>
      </w:pPr>
      <w:r>
        <w:rPr>
          <w:sz w:val="22"/>
          <w:szCs w:val="22"/>
        </w:rPr>
        <w:t>Kramer, R., Cassola, V.F., Khoury, H.J., et al., 2010. FASH and MASH: female and male adult human phantoms based on polygon mesh surfaces: II. Dosimetric calculations. Phys. Med. Biol. 55, 163–189.</w:t>
      </w:r>
    </w:p>
    <w:p w14:paraId="77D70F2D" w14:textId="77777777" w:rsidR="00E72CA9" w:rsidRDefault="00D516E3">
      <w:pPr>
        <w:pStyle w:val="EndNoteBibliography"/>
        <w:ind w:left="284" w:hanging="284"/>
        <w:rPr>
          <w:sz w:val="22"/>
          <w:szCs w:val="22"/>
        </w:rPr>
      </w:pPr>
      <w:r>
        <w:rPr>
          <w:sz w:val="22"/>
          <w:szCs w:val="22"/>
        </w:rPr>
        <w:t>Le Heron, J.C., 1992. Effective dose in diagnostic radiology. J. Radiol. Prot. 12, 111–114.</w:t>
      </w:r>
    </w:p>
    <w:p w14:paraId="106E1FB8" w14:textId="77777777" w:rsidR="00E72CA9" w:rsidRDefault="00D516E3">
      <w:pPr>
        <w:pStyle w:val="EndNoteBibliography"/>
        <w:ind w:left="284" w:hanging="284"/>
        <w:rPr>
          <w:sz w:val="22"/>
          <w:szCs w:val="22"/>
        </w:rPr>
      </w:pPr>
      <w:r>
        <w:rPr>
          <w:sz w:val="22"/>
          <w:szCs w:val="22"/>
        </w:rPr>
        <w:t>Lee, C., Lamart, S., Moroz, B.E., 2013. Computational lymphatic node models in pediatric and adult hybrid phantoms for radiation dosimetry. Phys. Med. Biol. 58, N59–N82.</w:t>
      </w:r>
    </w:p>
    <w:p w14:paraId="6BC39EBF" w14:textId="77777777" w:rsidR="00E72CA9" w:rsidRDefault="00D516E3">
      <w:pPr>
        <w:pStyle w:val="EndNoteBibliography"/>
        <w:ind w:left="284" w:hanging="284"/>
        <w:rPr>
          <w:sz w:val="22"/>
          <w:szCs w:val="22"/>
        </w:rPr>
      </w:pPr>
      <w:r>
        <w:rPr>
          <w:sz w:val="22"/>
          <w:szCs w:val="22"/>
        </w:rPr>
        <w:t>Lee, C., Lodwick, D., Hurtado, J., et al., 2010. The UF family of reference hybrid phantoms for computational radiation dosimetry. Phys. Med. Biol. 55, 339–363.</w:t>
      </w:r>
    </w:p>
    <w:p w14:paraId="4AADFB79" w14:textId="77777777" w:rsidR="00E72CA9" w:rsidRDefault="00D516E3">
      <w:pPr>
        <w:pStyle w:val="EndNoteBibliography"/>
        <w:ind w:left="284" w:hanging="284"/>
        <w:rPr>
          <w:sz w:val="22"/>
          <w:szCs w:val="22"/>
        </w:rPr>
      </w:pPr>
      <w:r>
        <w:rPr>
          <w:sz w:val="22"/>
          <w:szCs w:val="22"/>
        </w:rPr>
        <w:t>Malusek, A., Sandborg, M., Carlsson, G.A., 2016. A</w:t>
      </w:r>
      <w:r>
        <w:rPr>
          <w:rFonts w:hint="eastAsia"/>
          <w:sz w:val="22"/>
          <w:szCs w:val="22"/>
          <w:lang w:eastAsia="ja-JP"/>
        </w:rPr>
        <w:t>ccurate</w:t>
      </w:r>
      <w:r>
        <w:rPr>
          <w:sz w:val="22"/>
          <w:szCs w:val="22"/>
        </w:rPr>
        <w:t xml:space="preserve"> KAP meter calibration as a prerequisite for optimisation in projection radiography. Radiat. Prot. Dosimetry 169, 353–359.</w:t>
      </w:r>
    </w:p>
    <w:p w14:paraId="0F9534FD" w14:textId="77777777" w:rsidR="00E72CA9" w:rsidRDefault="00D516E3">
      <w:pPr>
        <w:pStyle w:val="EndNoteBibliography"/>
        <w:ind w:left="284" w:hanging="284"/>
        <w:rPr>
          <w:sz w:val="22"/>
          <w:szCs w:val="22"/>
        </w:rPr>
      </w:pPr>
      <w:r>
        <w:rPr>
          <w:sz w:val="22"/>
          <w:szCs w:val="22"/>
        </w:rPr>
        <w:t>Martin, C.J., 2007. An evaluation of semiconductor and ionization chamber detectors for diagnostic x-ray dosimetry measurements. Phys. Med. Biol. 52, 4465–4480.</w:t>
      </w:r>
    </w:p>
    <w:p w14:paraId="6A1E9431" w14:textId="77777777" w:rsidR="00E72CA9" w:rsidRDefault="00D516E3">
      <w:pPr>
        <w:pStyle w:val="EndNoteBibliography"/>
        <w:ind w:left="284" w:hanging="284"/>
        <w:rPr>
          <w:sz w:val="22"/>
          <w:szCs w:val="22"/>
        </w:rPr>
      </w:pPr>
      <w:r>
        <w:rPr>
          <w:sz w:val="22"/>
          <w:szCs w:val="22"/>
        </w:rPr>
        <w:t>Martin, C.J., 2020. Effective dose in medicine. Ann. Ann. ICRP 49(S1), 126–140.</w:t>
      </w:r>
    </w:p>
    <w:p w14:paraId="3228042D" w14:textId="77777777" w:rsidR="00E72CA9" w:rsidRDefault="00D516E3">
      <w:pPr>
        <w:pStyle w:val="EndNoteBibliography"/>
        <w:ind w:left="284" w:hanging="284"/>
        <w:rPr>
          <w:sz w:val="22"/>
          <w:szCs w:val="22"/>
        </w:rPr>
      </w:pPr>
      <w:r>
        <w:rPr>
          <w:sz w:val="22"/>
          <w:szCs w:val="22"/>
        </w:rPr>
        <w:t>Martin, C.J., Sutton, D.G., Sharp, P.F., 1999. Balancing patient dose and image quality. Appl. Radiat. Isot. 50, 1–19.</w:t>
      </w:r>
    </w:p>
    <w:p w14:paraId="44350D29" w14:textId="77777777" w:rsidR="00E72CA9" w:rsidRDefault="00D516E3">
      <w:pPr>
        <w:pStyle w:val="EndNoteBibliography"/>
        <w:ind w:left="284" w:hanging="284"/>
        <w:rPr>
          <w:sz w:val="22"/>
          <w:szCs w:val="22"/>
        </w:rPr>
      </w:pPr>
      <w:r>
        <w:rPr>
          <w:sz w:val="22"/>
          <w:szCs w:val="22"/>
        </w:rPr>
        <w:t xml:space="preserve">Martin, C.J., Abuhaimed, A., Lee, C., 2021. Dose quantities for measurement and comparison of doses to individual patients in computed tomography (CT). J. Radiol. Prot. 41. </w:t>
      </w:r>
    </w:p>
    <w:p w14:paraId="4246BD6E" w14:textId="77777777" w:rsidR="00E72CA9" w:rsidRDefault="00D516E3">
      <w:pPr>
        <w:pStyle w:val="EndNoteBibliography"/>
        <w:ind w:left="284" w:hanging="284"/>
        <w:rPr>
          <w:sz w:val="22"/>
          <w:szCs w:val="22"/>
        </w:rPr>
      </w:pPr>
      <w:r>
        <w:rPr>
          <w:sz w:val="22"/>
          <w:szCs w:val="22"/>
        </w:rPr>
        <w:t xml:space="preserve">NCRP, 2019. Medical Radiation Exposure of Patients in the United States. NCRP Report 184. National Council on Radiation Protection and Measurements, Bethesda, MD. </w:t>
      </w:r>
    </w:p>
    <w:p w14:paraId="2EDDEF24" w14:textId="77777777" w:rsidR="00E72CA9" w:rsidRDefault="00D516E3">
      <w:pPr>
        <w:pStyle w:val="EndNoteBibliography"/>
        <w:ind w:left="284" w:hanging="284"/>
        <w:rPr>
          <w:sz w:val="22"/>
          <w:szCs w:val="22"/>
        </w:rPr>
      </w:pPr>
      <w:r>
        <w:rPr>
          <w:sz w:val="22"/>
          <w:szCs w:val="22"/>
        </w:rPr>
        <w:t xml:space="preserve">Nelson, W.R., Hirayama, H., Rogers, D.W.O., 1985. The EGS4 code system. SLAC Report 265. Stanford Linear Accelerator Center, Stanford, CA. </w:t>
      </w:r>
    </w:p>
    <w:p w14:paraId="132C0B2D" w14:textId="77777777" w:rsidR="00E72CA9" w:rsidRDefault="00D516E3">
      <w:pPr>
        <w:pStyle w:val="EndNoteBibliography"/>
        <w:ind w:left="284" w:hanging="284"/>
        <w:rPr>
          <w:sz w:val="22"/>
          <w:szCs w:val="22"/>
        </w:rPr>
      </w:pPr>
      <w:r>
        <w:rPr>
          <w:sz w:val="22"/>
          <w:szCs w:val="22"/>
        </w:rPr>
        <w:t>NRC, 2006. Health risks from exposure to low levels of ionizing radiation: BEIR VII phase 2. The National Academies Press, Washington, DC.</w:t>
      </w:r>
    </w:p>
    <w:p w14:paraId="1BB581AF" w14:textId="77777777" w:rsidR="00E72CA9" w:rsidRDefault="00D516E3">
      <w:pPr>
        <w:pStyle w:val="EndNoteBibliography"/>
        <w:ind w:left="284" w:hanging="284"/>
        <w:rPr>
          <w:sz w:val="22"/>
          <w:szCs w:val="22"/>
        </w:rPr>
      </w:pPr>
      <w:r>
        <w:rPr>
          <w:sz w:val="22"/>
          <w:szCs w:val="22"/>
        </w:rPr>
        <w:t>Pafundi, D.H., 2009. Image-based skeletal tissue and electron dosimetry models for the ICRP reference pediatric age series. University of Florida, Florida,</w:t>
      </w:r>
      <w:r>
        <w:t xml:space="preserve"> </w:t>
      </w:r>
      <w:r>
        <w:rPr>
          <w:sz w:val="22"/>
          <w:szCs w:val="22"/>
        </w:rPr>
        <w:t xml:space="preserve">Gainesville, FL.   </w:t>
      </w:r>
    </w:p>
    <w:p w14:paraId="1D3CE33A" w14:textId="77777777" w:rsidR="00E72CA9" w:rsidRDefault="00D516E3">
      <w:pPr>
        <w:pStyle w:val="EndNoteBibliography"/>
        <w:ind w:left="284" w:hanging="284"/>
        <w:rPr>
          <w:sz w:val="22"/>
          <w:szCs w:val="22"/>
        </w:rPr>
      </w:pPr>
      <w:r>
        <w:rPr>
          <w:sz w:val="22"/>
          <w:szCs w:val="22"/>
        </w:rPr>
        <w:t>Perkins, S.T., Cullen, D., M. Seltzer, S., 1991. Tables and graphs of electron-interaction cross sections from 10 eV to 100 GeV derived from the LLNL Evaluated Electron Data Library (EEDL), Z = 1 to 100. UCRL-50400-Vol.31. Lawrence Livermore National Laboratory, Livermore, CA.</w:t>
      </w:r>
    </w:p>
    <w:p w14:paraId="43E5FAF1" w14:textId="77777777" w:rsidR="00E72CA9" w:rsidRDefault="00D516E3">
      <w:pPr>
        <w:pStyle w:val="EndNoteBibliography"/>
        <w:ind w:left="284" w:hanging="284"/>
        <w:rPr>
          <w:sz w:val="22"/>
          <w:szCs w:val="22"/>
        </w:rPr>
      </w:pPr>
      <w:r>
        <w:rPr>
          <w:sz w:val="22"/>
          <w:szCs w:val="22"/>
        </w:rPr>
        <w:t>Petoussi-Henss, N., Zankl, M., Panzer, W., 2005. Estimation of organ doses in radiology using voxel models describing different patients. Biomed. Tech. (Berl). 50, 664–665.</w:t>
      </w:r>
    </w:p>
    <w:p w14:paraId="68D8C557" w14:textId="77777777" w:rsidR="00E72CA9" w:rsidRDefault="00D516E3">
      <w:pPr>
        <w:pStyle w:val="EndNoteBibliography"/>
        <w:ind w:left="284" w:hanging="284"/>
        <w:rPr>
          <w:sz w:val="22"/>
          <w:szCs w:val="22"/>
        </w:rPr>
      </w:pPr>
      <w:r>
        <w:rPr>
          <w:sz w:val="22"/>
          <w:szCs w:val="22"/>
        </w:rPr>
        <w:lastRenderedPageBreak/>
        <w:t>Petoussi-Henss, N., Panzer, W., Zankl, M., et al., 1995. Dose-area product and body doses. Radiat. Prot. Dosim. 57, 363–366.</w:t>
      </w:r>
    </w:p>
    <w:p w14:paraId="5F1799FB" w14:textId="77777777" w:rsidR="00E72CA9" w:rsidRDefault="00D516E3">
      <w:pPr>
        <w:pStyle w:val="EndNoteBibliography"/>
        <w:ind w:left="284" w:hanging="284"/>
        <w:rPr>
          <w:sz w:val="22"/>
          <w:szCs w:val="22"/>
        </w:rPr>
      </w:pPr>
      <w:r>
        <w:rPr>
          <w:sz w:val="22"/>
          <w:szCs w:val="22"/>
        </w:rPr>
        <w:t xml:space="preserve">Petoussi-Henss, N., Zankl, M., Schlattl, H., et al., 2006. Organdosiskonversionsfaktoren für röntgendiagnostische Untersuchungen anhand von Monte-Carlo-Simulationen. In: Bogner, L., Dobler, B. (Eds.), Jahrestagung der Deutschen Gesellschaft für Medizinische Physik e.V, Regensburg. </w:t>
      </w:r>
    </w:p>
    <w:p w14:paraId="277B2A4C" w14:textId="77777777" w:rsidR="00E72CA9" w:rsidRDefault="00D516E3">
      <w:pPr>
        <w:pStyle w:val="EndNoteBibliography"/>
        <w:ind w:left="284" w:hanging="284"/>
        <w:rPr>
          <w:sz w:val="22"/>
          <w:szCs w:val="22"/>
        </w:rPr>
      </w:pPr>
      <w:r>
        <w:rPr>
          <w:sz w:val="22"/>
          <w:szCs w:val="22"/>
        </w:rPr>
        <w:t>Poludniowski, G., Landry, G., DeBlois, F., et al., 2009. SpekCalc: a program to calculate photon spectra from tungsten anode x-ray tubes. Phys. Med. Biol. 54, N433–N438.</w:t>
      </w:r>
    </w:p>
    <w:p w14:paraId="3B125F9B" w14:textId="77777777" w:rsidR="00E72CA9" w:rsidRDefault="00D516E3">
      <w:pPr>
        <w:pStyle w:val="EndNoteBibliography"/>
        <w:ind w:left="284" w:hanging="284"/>
        <w:rPr>
          <w:sz w:val="22"/>
          <w:szCs w:val="22"/>
        </w:rPr>
      </w:pPr>
      <w:r>
        <w:rPr>
          <w:sz w:val="22"/>
          <w:szCs w:val="22"/>
        </w:rPr>
        <w:t>Poludniowski, G.G., 2007. Calculation of x-ray spectra emerging from an x-ray tube. Part II. X-ray production and filtration in x-ray targets. Med. Phys. 34, 2175–2186.</w:t>
      </w:r>
    </w:p>
    <w:p w14:paraId="4AEA876A" w14:textId="77777777" w:rsidR="00E72CA9" w:rsidRDefault="00D516E3">
      <w:pPr>
        <w:pStyle w:val="EndNoteBibliography"/>
        <w:ind w:left="284" w:hanging="284"/>
        <w:rPr>
          <w:sz w:val="22"/>
          <w:szCs w:val="22"/>
        </w:rPr>
      </w:pPr>
      <w:r>
        <w:rPr>
          <w:sz w:val="22"/>
          <w:szCs w:val="22"/>
        </w:rPr>
        <w:t>Poludniowski, G.G., Evans, P.M., 2007. Calculation of x-ray spectra emerging from an x-ray tube. Part I. Electron penetration characteristics in x-ray targets. Med. Phys. 34, 2164–2174.</w:t>
      </w:r>
    </w:p>
    <w:p w14:paraId="2259B9A3" w14:textId="77777777" w:rsidR="00E72CA9" w:rsidRDefault="00D516E3">
      <w:pPr>
        <w:pStyle w:val="EndNoteBibliography"/>
        <w:ind w:left="284" w:hanging="284"/>
        <w:rPr>
          <w:sz w:val="22"/>
          <w:szCs w:val="22"/>
        </w:rPr>
      </w:pPr>
      <w:r>
        <w:rPr>
          <w:sz w:val="22"/>
          <w:szCs w:val="22"/>
        </w:rPr>
        <w:t>Rannikko, S., Ermakov, I., Lampinen, J.S., et al., 1997. Computing patient doses of X-ray examinations using a patient size- and sex-adjustable phantom. Br. J. Radiol. 70, 708–718.</w:t>
      </w:r>
    </w:p>
    <w:p w14:paraId="67336AAB" w14:textId="77777777" w:rsidR="00E72CA9" w:rsidRDefault="00D516E3">
      <w:pPr>
        <w:pStyle w:val="EndNoteBibliography"/>
        <w:ind w:left="284" w:hanging="284"/>
        <w:rPr>
          <w:sz w:val="22"/>
          <w:szCs w:val="22"/>
        </w:rPr>
      </w:pPr>
      <w:r>
        <w:rPr>
          <w:sz w:val="22"/>
          <w:szCs w:val="22"/>
        </w:rPr>
        <w:t xml:space="preserve">Rosenstein, M., 1976. Organ doses in diagnostic radiology. Bureau of Radiological Health, Rockville, MD. </w:t>
      </w:r>
    </w:p>
    <w:p w14:paraId="3A9014C3" w14:textId="77777777" w:rsidR="00E72CA9" w:rsidRDefault="00D516E3">
      <w:pPr>
        <w:pStyle w:val="EndNoteBibliography"/>
        <w:ind w:left="284" w:hanging="284"/>
        <w:rPr>
          <w:sz w:val="22"/>
          <w:szCs w:val="22"/>
        </w:rPr>
      </w:pPr>
      <w:r>
        <w:rPr>
          <w:sz w:val="22"/>
          <w:szCs w:val="22"/>
        </w:rPr>
        <w:t xml:space="preserve">Rosenstein, M., 1988. Handbook of selected tissue doses for projections common in diagnostic radiology. Food and Drug Administration, Rockville, MD. </w:t>
      </w:r>
    </w:p>
    <w:p w14:paraId="4479533B" w14:textId="77777777" w:rsidR="00E72CA9" w:rsidRDefault="00D516E3">
      <w:pPr>
        <w:pStyle w:val="EndNoteBibliography"/>
        <w:ind w:left="284" w:hanging="284"/>
        <w:rPr>
          <w:sz w:val="22"/>
          <w:szCs w:val="22"/>
        </w:rPr>
      </w:pPr>
      <w:r>
        <w:rPr>
          <w:sz w:val="22"/>
          <w:szCs w:val="22"/>
        </w:rPr>
        <w:t xml:space="preserve">Rosenstein, M., Beck, T.J., Warner, G.G., 1979. Handbook of selected organ doses from projections common in paediatric radiology. Bureau of Radiological Health, Rockville, MD. </w:t>
      </w:r>
    </w:p>
    <w:p w14:paraId="7D7AE8D4" w14:textId="77777777" w:rsidR="00E72CA9" w:rsidRDefault="00D516E3">
      <w:pPr>
        <w:pStyle w:val="EndNoteBibliography"/>
        <w:ind w:left="284" w:hanging="284"/>
        <w:rPr>
          <w:sz w:val="22"/>
          <w:szCs w:val="22"/>
        </w:rPr>
      </w:pPr>
      <w:r>
        <w:rPr>
          <w:sz w:val="22"/>
          <w:szCs w:val="22"/>
        </w:rPr>
        <w:t>Sanchez, R., Vano, E., Fernandez Soto, J.M., et al., 2020. Updating national diagnostic reference levels for interventional cardiology and methodological aspects. Phys. Med. 70, 169–175.</w:t>
      </w:r>
    </w:p>
    <w:p w14:paraId="6F430A85" w14:textId="77777777" w:rsidR="00E72CA9" w:rsidRDefault="00D516E3">
      <w:pPr>
        <w:pStyle w:val="EndNoteBibliography"/>
        <w:ind w:left="284" w:hanging="284"/>
        <w:rPr>
          <w:sz w:val="22"/>
          <w:szCs w:val="22"/>
        </w:rPr>
      </w:pPr>
      <w:r>
        <w:rPr>
          <w:sz w:val="22"/>
          <w:szCs w:val="22"/>
        </w:rPr>
        <w:t xml:space="preserve">Sato, K., Endo, A., Saito, K., 2008. Dose conversion coefficients calculated using a series of adult Japanese voxel phantoms against external photon exposures. JAEA-Data/Code 2008-016. Japan Atomic Energy Agency, Ibaraki. </w:t>
      </w:r>
    </w:p>
    <w:p w14:paraId="79F773BE" w14:textId="77777777" w:rsidR="00E72CA9" w:rsidRDefault="00D516E3">
      <w:pPr>
        <w:pStyle w:val="EndNoteBibliography"/>
        <w:ind w:left="284" w:hanging="284"/>
        <w:rPr>
          <w:sz w:val="22"/>
          <w:szCs w:val="22"/>
        </w:rPr>
      </w:pPr>
      <w:r>
        <w:rPr>
          <w:sz w:val="22"/>
          <w:szCs w:val="22"/>
        </w:rPr>
        <w:t>Schlattl, H., Zankl, M., Becker, J., et al., 2012. Dose conversion coefficients for paediatric CT examinations with automatic tube current modulation. Physics in Medicine and Biology 57, 6309–6326.</w:t>
      </w:r>
    </w:p>
    <w:p w14:paraId="252041BA" w14:textId="77777777" w:rsidR="00E72CA9" w:rsidRDefault="00D516E3">
      <w:pPr>
        <w:pStyle w:val="EndNoteBibliography"/>
        <w:ind w:left="284" w:hanging="284"/>
        <w:rPr>
          <w:sz w:val="22"/>
          <w:szCs w:val="22"/>
        </w:rPr>
      </w:pPr>
      <w:r>
        <w:rPr>
          <w:sz w:val="22"/>
          <w:szCs w:val="22"/>
        </w:rPr>
        <w:t>Schultz, F.W., Geleijns, J., Zoetelief, J., 1994. Calculation of dose conversion factors for posterior-anterior chest radiography of adults with a relatively high-energy X-ray spectrum. Br. J. Radiol. 67, 775–785.</w:t>
      </w:r>
    </w:p>
    <w:p w14:paraId="6186403B" w14:textId="77777777" w:rsidR="00E72CA9" w:rsidRDefault="00D516E3">
      <w:pPr>
        <w:pStyle w:val="EndNoteBibliography"/>
        <w:ind w:left="284" w:hanging="284"/>
        <w:rPr>
          <w:sz w:val="22"/>
          <w:szCs w:val="22"/>
        </w:rPr>
      </w:pPr>
      <w:r>
        <w:rPr>
          <w:sz w:val="22"/>
          <w:szCs w:val="22"/>
        </w:rPr>
        <w:t>Schümann, J., Paganetti, H., Shin, J., et al., 2012. Efficient voxel navigation for proton therapy dose calculation in TOPAS and Geant4. Phys. Med. Biol. 57, 3281–3293.</w:t>
      </w:r>
    </w:p>
    <w:p w14:paraId="765AF218" w14:textId="77777777" w:rsidR="00E72CA9" w:rsidRDefault="00D516E3">
      <w:pPr>
        <w:pStyle w:val="EndNoteBibliography"/>
        <w:ind w:left="284" w:hanging="284"/>
        <w:rPr>
          <w:sz w:val="22"/>
          <w:szCs w:val="22"/>
        </w:rPr>
      </w:pPr>
      <w:r>
        <w:rPr>
          <w:sz w:val="22"/>
          <w:szCs w:val="22"/>
        </w:rPr>
        <w:t>Seidenbusch, M., Rösenberger, V., Schneider, K., 2019. Radiation Dose and Dose Reconstruction in Conventional Paediatric Radiology. In: Seidenbusch, M., Rösenberger, V., Schneider, K., Imaging Practice and Radiation Protection in Pediatric Radiology: Conventional Radiography. Springer International Publishing, Cham, pp. 25–44.</w:t>
      </w:r>
    </w:p>
    <w:p w14:paraId="1A067AAE" w14:textId="77777777" w:rsidR="00E72CA9" w:rsidRDefault="00D516E3">
      <w:pPr>
        <w:pStyle w:val="EndNoteBibliography"/>
        <w:ind w:left="284" w:hanging="284"/>
        <w:rPr>
          <w:sz w:val="22"/>
          <w:szCs w:val="22"/>
        </w:rPr>
      </w:pPr>
      <w:r>
        <w:rPr>
          <w:sz w:val="22"/>
          <w:szCs w:val="22"/>
        </w:rPr>
        <w:t>Servomaa, A., Tapiovaara, M., 1998. Organ Dose Calculation in Medical X Ray Examinations by the Program PCXMC. Radiat. Prot. Dosimetry 80, 213–219.</w:t>
      </w:r>
    </w:p>
    <w:p w14:paraId="059D37B6" w14:textId="77777777" w:rsidR="00E72CA9" w:rsidRDefault="00D516E3">
      <w:pPr>
        <w:pStyle w:val="EndNoteBibliography"/>
        <w:ind w:left="284" w:hanging="284"/>
        <w:rPr>
          <w:sz w:val="22"/>
          <w:szCs w:val="22"/>
        </w:rPr>
      </w:pPr>
      <w:r>
        <w:rPr>
          <w:sz w:val="22"/>
          <w:szCs w:val="22"/>
        </w:rPr>
        <w:t xml:space="preserve">Snyder, W.S., Ford, M.R., Warner, G.G., et al., 1969. Estimates of absorbed fractions for monoenergetic photon sources uniformly distributed in various organs of a heterogeneous phantom. J. Nucl. Med. 10, 7–52. </w:t>
      </w:r>
    </w:p>
    <w:p w14:paraId="7B6EF411" w14:textId="77777777" w:rsidR="00E72CA9" w:rsidRDefault="00D516E3">
      <w:pPr>
        <w:pStyle w:val="EndNoteBibliography"/>
        <w:ind w:left="284" w:hanging="284"/>
        <w:rPr>
          <w:sz w:val="22"/>
          <w:szCs w:val="22"/>
        </w:rPr>
      </w:pPr>
      <w:r>
        <w:rPr>
          <w:sz w:val="22"/>
          <w:szCs w:val="22"/>
        </w:rPr>
        <w:t>Sutton, D.G., 2015. Catalogue of Diagnostic X-Ray Spectra and other Data: Electoronic Vesion, second ed. Institute of Physics and Engineering in Medicine, York.</w:t>
      </w:r>
    </w:p>
    <w:p w14:paraId="6A961DCB" w14:textId="77777777" w:rsidR="00E72CA9" w:rsidRDefault="00D516E3">
      <w:pPr>
        <w:pStyle w:val="EndNoteBibliography"/>
        <w:ind w:left="284" w:hanging="284"/>
        <w:rPr>
          <w:sz w:val="22"/>
          <w:szCs w:val="22"/>
        </w:rPr>
      </w:pPr>
      <w:r>
        <w:rPr>
          <w:sz w:val="22"/>
          <w:szCs w:val="22"/>
        </w:rPr>
        <w:t xml:space="preserve">Tapiovaara, M., Siiskonen, T., 2008. PCXMC, a Monte Carlo program for calculating patient doses in medical x-ray examinations. Radiation and Nuclear Safety Authority in Finland, Vantaa. </w:t>
      </w:r>
    </w:p>
    <w:p w14:paraId="1C01EB0F" w14:textId="77777777" w:rsidR="00E72CA9" w:rsidRDefault="00D516E3">
      <w:pPr>
        <w:pStyle w:val="EndNoteBibliography"/>
        <w:ind w:left="284" w:hanging="284"/>
        <w:rPr>
          <w:sz w:val="22"/>
          <w:szCs w:val="22"/>
        </w:rPr>
      </w:pPr>
      <w:r>
        <w:rPr>
          <w:sz w:val="22"/>
          <w:szCs w:val="22"/>
        </w:rPr>
        <w:t>Toroi, P., Komppa, T., Kosunen, A., 2008a. A tandem calibration method for kerma–area product meters. Phys. Med. Biol. 53, 4941–4958.</w:t>
      </w:r>
    </w:p>
    <w:p w14:paraId="10A37106" w14:textId="77777777" w:rsidR="00E72CA9" w:rsidRDefault="00D516E3">
      <w:pPr>
        <w:pStyle w:val="EndNoteBibliography"/>
        <w:ind w:left="284" w:hanging="284"/>
        <w:rPr>
          <w:sz w:val="22"/>
          <w:szCs w:val="22"/>
        </w:rPr>
      </w:pPr>
      <w:r>
        <w:rPr>
          <w:sz w:val="22"/>
          <w:szCs w:val="22"/>
        </w:rPr>
        <w:t>Toroi, P., Komppa, T., Kosunen, A., et al., 2008b. Effects of radiation quality on the calibration of kerma-area product meters in x-ray beams. Phys. Med. Biol. 53, 5207–5221.</w:t>
      </w:r>
    </w:p>
    <w:p w14:paraId="6933AD19" w14:textId="77777777" w:rsidR="00E72CA9" w:rsidRDefault="00D516E3">
      <w:pPr>
        <w:pStyle w:val="EndNoteBibliography"/>
        <w:ind w:left="284" w:hanging="284"/>
        <w:rPr>
          <w:sz w:val="22"/>
          <w:szCs w:val="22"/>
        </w:rPr>
      </w:pPr>
      <w:r>
        <w:rPr>
          <w:sz w:val="22"/>
          <w:szCs w:val="22"/>
        </w:rPr>
        <w:t xml:space="preserve">UNSCEAR, 2010. 2008 Report. Sources and Effects of Ionising Radiation. Volume 1, Annexe A Medial Radiation Exposures. United Nations Scientific Committee on the Effects of Atomic Radiation, New York. </w:t>
      </w:r>
    </w:p>
    <w:p w14:paraId="7E848194" w14:textId="77777777" w:rsidR="00E72CA9" w:rsidRDefault="00D516E3">
      <w:pPr>
        <w:pStyle w:val="EndNoteBibliography"/>
        <w:ind w:left="284" w:hanging="284"/>
        <w:rPr>
          <w:sz w:val="22"/>
          <w:szCs w:val="22"/>
        </w:rPr>
      </w:pPr>
      <w:r>
        <w:rPr>
          <w:sz w:val="22"/>
          <w:szCs w:val="22"/>
        </w:rPr>
        <w:lastRenderedPageBreak/>
        <w:t>UNSCEAR, 2022. Sources, Effects and Risks of Ionizing Radiation, United Nations Scientific Committee on the Effects of Atomic Radiation (UNSCEAR) 2020/2021 Report, Volume I : Report to the General Assembly, with Scientific Annex A - Evaluation of Medical Exposure to Ionizing Radiation. United Nations, New York.</w:t>
      </w:r>
    </w:p>
    <w:p w14:paraId="3C6C0161" w14:textId="77777777" w:rsidR="00E72CA9" w:rsidRDefault="00D516E3">
      <w:pPr>
        <w:pStyle w:val="EndNoteBibliography"/>
        <w:ind w:left="284" w:hanging="284"/>
        <w:rPr>
          <w:sz w:val="22"/>
          <w:szCs w:val="22"/>
        </w:rPr>
      </w:pPr>
      <w:r>
        <w:rPr>
          <w:sz w:val="22"/>
          <w:szCs w:val="22"/>
        </w:rPr>
        <w:t>Veit, R., Zankl, M., 1992. Influence of patient size on organ doses in diagnostic radiology. Radiat. Prot. Dosimetry 43, 241–243.</w:t>
      </w:r>
    </w:p>
    <w:p w14:paraId="167DAE66" w14:textId="77777777" w:rsidR="00E72CA9" w:rsidRDefault="00D516E3">
      <w:pPr>
        <w:pStyle w:val="EndNoteBibliography"/>
        <w:ind w:left="284" w:hanging="284"/>
        <w:rPr>
          <w:sz w:val="22"/>
          <w:szCs w:val="22"/>
        </w:rPr>
      </w:pPr>
      <w:r>
        <w:rPr>
          <w:sz w:val="22"/>
          <w:szCs w:val="22"/>
        </w:rPr>
        <w:t>Veit, R., Zankl, M., 1993. Variation of organ doses in paediatric radiology due to patient diameter, calculated with phantoms of varying voxel size. Radiat. Prot. Dosimetry 49, 353–356.</w:t>
      </w:r>
    </w:p>
    <w:p w14:paraId="6E982F75" w14:textId="77777777" w:rsidR="00E72CA9" w:rsidRDefault="00D516E3">
      <w:pPr>
        <w:pStyle w:val="EndNoteBibliography"/>
        <w:ind w:left="284" w:hanging="284"/>
        <w:rPr>
          <w:sz w:val="22"/>
          <w:szCs w:val="22"/>
        </w:rPr>
      </w:pPr>
      <w:r>
        <w:rPr>
          <w:sz w:val="22"/>
          <w:szCs w:val="22"/>
        </w:rPr>
        <w:t>Wayson, M.B., 2012. Computational Internal Dosimetry Methods as Applied to the University of Florida Series of Hybrid Phantoms. University of Florida, Florida,</w:t>
      </w:r>
      <w:r>
        <w:t xml:space="preserve"> </w:t>
      </w:r>
      <w:r>
        <w:rPr>
          <w:sz w:val="22"/>
          <w:szCs w:val="22"/>
        </w:rPr>
        <w:t xml:space="preserve">Gainesville, FL. </w:t>
      </w:r>
    </w:p>
    <w:p w14:paraId="5F618261" w14:textId="77777777" w:rsidR="00E72CA9" w:rsidRDefault="00D516E3">
      <w:pPr>
        <w:pStyle w:val="EndNoteBibliography"/>
        <w:ind w:left="284" w:hanging="284"/>
        <w:rPr>
          <w:sz w:val="22"/>
          <w:szCs w:val="22"/>
        </w:rPr>
      </w:pPr>
      <w:r>
        <w:rPr>
          <w:sz w:val="22"/>
          <w:szCs w:val="22"/>
        </w:rPr>
        <w:t>Whitley, A.S., Jefferson, G., Holmes, K., et al., 2015. Clark's Positioning in Radiography. Taylor &amp; Francis, Boca Raton, FL.</w:t>
      </w:r>
    </w:p>
    <w:p w14:paraId="3AD3AC37" w14:textId="77777777" w:rsidR="00E72CA9" w:rsidRDefault="00D516E3">
      <w:pPr>
        <w:pStyle w:val="EndNoteBibliography"/>
        <w:ind w:left="284" w:hanging="284"/>
        <w:rPr>
          <w:sz w:val="22"/>
          <w:szCs w:val="22"/>
        </w:rPr>
      </w:pPr>
      <w:r>
        <w:rPr>
          <w:sz w:val="22"/>
          <w:szCs w:val="22"/>
        </w:rPr>
        <w:t>Winslow, M., Huda, W., Xu, X.G., et al., 2004. Use of the VIP-Man model to calculate energy imparted and effective dose for x-ray examinations. Health Phys. 86, 174–182.</w:t>
      </w:r>
    </w:p>
    <w:p w14:paraId="65827FD0" w14:textId="77777777" w:rsidR="00E72CA9" w:rsidRDefault="00D516E3">
      <w:pPr>
        <w:pStyle w:val="EndNoteBibliography"/>
        <w:ind w:left="284" w:hanging="284"/>
        <w:rPr>
          <w:sz w:val="22"/>
          <w:szCs w:val="22"/>
        </w:rPr>
      </w:pPr>
      <w:r>
        <w:rPr>
          <w:sz w:val="22"/>
          <w:szCs w:val="22"/>
        </w:rPr>
        <w:t>Worrall, M., Sutton, D.G., 2015. Developing a method and deriving an uncertainty budget for the internal calibration of dosemeters for radiographic equipment. J. Radiol. Prot. 35, 209–222.</w:t>
      </w:r>
    </w:p>
    <w:p w14:paraId="5A6E337D" w14:textId="77777777" w:rsidR="00E72CA9" w:rsidRDefault="00D516E3">
      <w:pPr>
        <w:pStyle w:val="EndNoteBibliography"/>
        <w:ind w:left="284" w:hanging="284"/>
        <w:rPr>
          <w:sz w:val="22"/>
          <w:szCs w:val="22"/>
        </w:rPr>
      </w:pPr>
      <w:r>
        <w:rPr>
          <w:sz w:val="22"/>
          <w:szCs w:val="22"/>
        </w:rPr>
        <w:t xml:space="preserve">Xu, X.G., Eckerman, K.F. (Eds.), 2010. Handbook of anatomical models for radiation dosimetry. </w:t>
      </w:r>
      <w:r>
        <w:rPr>
          <w:rStyle w:val="a-list-item"/>
        </w:rPr>
        <w:t xml:space="preserve">CRC Press, </w:t>
      </w:r>
      <w:r>
        <w:rPr>
          <w:sz w:val="22"/>
          <w:szCs w:val="22"/>
        </w:rPr>
        <w:t>Boca Raton, FL.</w:t>
      </w:r>
    </w:p>
    <w:p w14:paraId="50BA35F3" w14:textId="77777777" w:rsidR="00E72CA9" w:rsidRDefault="00D516E3">
      <w:pPr>
        <w:pStyle w:val="EndNoteBibliography"/>
        <w:ind w:left="284" w:hanging="284"/>
        <w:rPr>
          <w:sz w:val="22"/>
          <w:szCs w:val="22"/>
        </w:rPr>
      </w:pPr>
      <w:r>
        <w:rPr>
          <w:sz w:val="22"/>
          <w:szCs w:val="22"/>
        </w:rPr>
        <w:t>Yeom, Y.S., Wang, Z.J., Nguyen, T.T., et al., 2016. Development of skeletal system for mesh-type ICRP reference adult phantoms. Phys. Med. Biol. 61, 7054–7073.</w:t>
      </w:r>
    </w:p>
    <w:p w14:paraId="12B48891" w14:textId="77777777" w:rsidR="00E72CA9" w:rsidRDefault="00D516E3">
      <w:pPr>
        <w:pStyle w:val="EndNoteBibliography"/>
        <w:ind w:left="284" w:hanging="284"/>
        <w:rPr>
          <w:sz w:val="22"/>
          <w:szCs w:val="22"/>
        </w:rPr>
      </w:pPr>
      <w:r>
        <w:rPr>
          <w:sz w:val="22"/>
          <w:szCs w:val="22"/>
        </w:rPr>
        <w:t>Zankl, M., 1992. Computational models employed for dose assessment in diagnostic radiology. Radiat. Prot. Dosimetry 49, 339–344.</w:t>
      </w:r>
    </w:p>
    <w:p w14:paraId="32E7DB9F" w14:textId="77777777" w:rsidR="00E72CA9" w:rsidRDefault="00D516E3">
      <w:pPr>
        <w:pStyle w:val="EndNoteBibliography"/>
        <w:ind w:left="284" w:hanging="284"/>
        <w:rPr>
          <w:sz w:val="22"/>
          <w:szCs w:val="22"/>
        </w:rPr>
      </w:pPr>
      <w:r>
        <w:rPr>
          <w:sz w:val="22"/>
          <w:szCs w:val="22"/>
        </w:rPr>
        <w:t>Zankl, M., 1993. Computational Models Employed for Dose Assessment in Diagnostic Radiology. Radiat. Prot. Dosimetry 49, 339–344.</w:t>
      </w:r>
    </w:p>
    <w:p w14:paraId="03E13E67" w14:textId="77777777" w:rsidR="00E72CA9" w:rsidRDefault="00D516E3">
      <w:pPr>
        <w:pStyle w:val="EndNoteBibliography"/>
        <w:ind w:left="284" w:hanging="284"/>
        <w:rPr>
          <w:sz w:val="22"/>
          <w:szCs w:val="22"/>
        </w:rPr>
      </w:pPr>
      <w:r>
        <w:rPr>
          <w:sz w:val="22"/>
          <w:szCs w:val="22"/>
        </w:rPr>
        <w:t>Zankl, M., Wittmann, A., 2001. The adult male voxel model "Golem" segmented from whole body CT patient data. Radiat. Environ. Biophys. 40, 153–162.</w:t>
      </w:r>
    </w:p>
    <w:p w14:paraId="7323AE83" w14:textId="77777777" w:rsidR="00E72CA9" w:rsidRDefault="00D516E3">
      <w:pPr>
        <w:pStyle w:val="EndNoteBibliography"/>
        <w:ind w:left="284" w:hanging="284"/>
        <w:rPr>
          <w:sz w:val="22"/>
          <w:szCs w:val="22"/>
        </w:rPr>
      </w:pPr>
      <w:r>
        <w:rPr>
          <w:sz w:val="22"/>
          <w:szCs w:val="22"/>
        </w:rPr>
        <w:t>Zankl, M., Fill, U., Petoussi-Henss, N., et al., 2002. Organ dose conversion coefficients for external photon irradiation of male and female voxel models. Phys. Med. Biol. 47, 2367–2385.</w:t>
      </w:r>
    </w:p>
    <w:p w14:paraId="3AEAC12A" w14:textId="77777777" w:rsidR="00E72CA9" w:rsidRDefault="00D516E3">
      <w:pPr>
        <w:pStyle w:val="EndNoteBibliography"/>
        <w:ind w:left="284" w:hanging="284"/>
        <w:rPr>
          <w:sz w:val="22"/>
          <w:szCs w:val="22"/>
        </w:rPr>
      </w:pPr>
      <w:r>
        <w:rPr>
          <w:sz w:val="22"/>
          <w:szCs w:val="22"/>
        </w:rPr>
        <w:t xml:space="preserve">Zankl, M., Becker, J., Fill, U., et al., 2005. GSF male and female adult voxel models representing ICRP Reference Man - the present status. In: The Monte Carlo Method: Versatility Unbounded in a Dynamic Computing World: Monte Carlo 2005 topical meeting, 17–21 April 17-21 2005, Chattanooga, TN </w:t>
      </w:r>
    </w:p>
    <w:p w14:paraId="5B013F8C" w14:textId="77777777" w:rsidR="00E72CA9" w:rsidRDefault="00D516E3">
      <w:pPr>
        <w:pStyle w:val="EndNoteBibliography"/>
        <w:ind w:left="284" w:hanging="284"/>
        <w:rPr>
          <w:i/>
          <w:sz w:val="22"/>
          <w:szCs w:val="22"/>
        </w:rPr>
      </w:pPr>
      <w:r>
        <w:rPr>
          <w:i/>
          <w:sz w:val="22"/>
          <w:szCs w:val="22"/>
        </w:rPr>
        <w:fldChar w:fldCharType="end"/>
      </w:r>
      <w:r>
        <w:rPr>
          <w:i/>
          <w:sz w:val="22"/>
          <w:szCs w:val="22"/>
        </w:rPr>
        <w:br w:type="page"/>
      </w:r>
    </w:p>
    <w:p w14:paraId="59EFCF26" w14:textId="77777777" w:rsidR="00E72CA9" w:rsidRDefault="00D516E3">
      <w:pPr>
        <w:pStyle w:val="ICRPannexheading1"/>
        <w:outlineLvl w:val="0"/>
      </w:pPr>
      <w:bookmarkStart w:id="155" w:name="_Toc510393101"/>
      <w:bookmarkStart w:id="156" w:name="_Toc510394586"/>
      <w:bookmarkStart w:id="157" w:name="_Toc5194858"/>
      <w:bookmarkStart w:id="158" w:name="_Toc111194090"/>
      <w:bookmarkStart w:id="159" w:name="_Hlk138147271"/>
      <w:bookmarkStart w:id="160" w:name="_Toc158293348"/>
      <w:bookmarkStart w:id="161" w:name="_Toc158293668"/>
      <w:bookmarkStart w:id="162" w:name="_Toc165302056"/>
      <w:bookmarkStart w:id="163" w:name="_Toc6997843"/>
      <w:bookmarkStart w:id="164" w:name="_Toc6997932"/>
      <w:bookmarkStart w:id="165" w:name="_Toc6998195"/>
      <w:bookmarkStart w:id="166" w:name="_Toc6998320"/>
      <w:bookmarkStart w:id="167" w:name="_Toc6998411"/>
      <w:bookmarkEnd w:id="151"/>
      <w:r>
        <w:lastRenderedPageBreak/>
        <w:t xml:space="preserve">Dosimetric quantities used in </w:t>
      </w:r>
      <w:bookmarkEnd w:id="155"/>
      <w:bookmarkEnd w:id="156"/>
      <w:bookmarkEnd w:id="157"/>
      <w:r>
        <w:t>patient dosimetry in radiography</w:t>
      </w:r>
      <w:bookmarkEnd w:id="158"/>
      <w:bookmarkEnd w:id="159"/>
      <w:bookmarkEnd w:id="160"/>
      <w:bookmarkEnd w:id="161"/>
      <w:bookmarkEnd w:id="162"/>
    </w:p>
    <w:p w14:paraId="5FEAD738" w14:textId="77777777" w:rsidR="00E72CA9" w:rsidRDefault="00D516E3">
      <w:pPr>
        <w:pStyle w:val="ICRPannexheading2"/>
        <w:ind w:left="576"/>
        <w:outlineLvl w:val="1"/>
      </w:pPr>
      <w:bookmarkStart w:id="168" w:name="_Toc510393102"/>
      <w:bookmarkStart w:id="169" w:name="_Toc510394587"/>
      <w:bookmarkStart w:id="170" w:name="_Toc5194859"/>
      <w:bookmarkStart w:id="171" w:name="_Toc111194091"/>
      <w:bookmarkStart w:id="172" w:name="_Toc158293669"/>
      <w:bookmarkStart w:id="173" w:name="_Toc165302057"/>
      <w:r>
        <w:t xml:space="preserve">Organ absorbed dose and equivalent </w:t>
      </w:r>
      <w:bookmarkEnd w:id="168"/>
      <w:bookmarkEnd w:id="169"/>
      <w:bookmarkEnd w:id="170"/>
      <w:bookmarkEnd w:id="171"/>
      <w:r>
        <w:t>dose.</w:t>
      </w:r>
      <w:bookmarkEnd w:id="172"/>
      <w:bookmarkEnd w:id="173"/>
    </w:p>
    <w:p w14:paraId="4F4F6732" w14:textId="77777777" w:rsidR="00E72CA9" w:rsidRDefault="00D516E3">
      <w:pPr>
        <w:pStyle w:val="ICRPannexparagraph"/>
        <w:ind w:left="0"/>
      </w:pPr>
      <w:r>
        <w:t xml:space="preserve">The mean absorbed dose averaged over the volume of organs and tissues is the primary scientific quantity from which effective dose, </w:t>
      </w:r>
      <w:r>
        <w:rPr>
          <w:i/>
        </w:rPr>
        <w:t>E</w:t>
      </w:r>
      <w:r>
        <w:t>, is calculated. Absorbed dose (</w:t>
      </w:r>
      <w:r>
        <w:rPr>
          <w:i/>
        </w:rPr>
        <w:t>D</w:t>
      </w:r>
      <w:r>
        <w:t xml:space="preserve">) is defined as the quotient of mean energy imparted, </w:t>
      </w:r>
      <m:oMath>
        <m:r>
          <m:rPr>
            <m:sty m:val="p"/>
          </m:rPr>
          <w:rPr>
            <w:rFonts w:ascii="Cambria Math" w:hAnsi="Cambria Math"/>
            <w:sz w:val="22"/>
          </w:rPr>
          <m:t>d</m:t>
        </m:r>
        <m:bar>
          <m:barPr>
            <m:pos m:val="top"/>
            <m:ctrlPr>
              <w:rPr>
                <w:rFonts w:ascii="Cambria Math" w:hAnsi="Cambria Math"/>
                <w:i/>
                <w:sz w:val="22"/>
              </w:rPr>
            </m:ctrlPr>
          </m:barPr>
          <m:e>
            <m:r>
              <w:rPr>
                <w:rFonts w:ascii="Cambria Math" w:hAnsi="Cambria Math"/>
                <w:sz w:val="22"/>
              </w:rPr>
              <m:t>ℇ</m:t>
            </m:r>
          </m:e>
        </m:bar>
        <m:r>
          <w:rPr>
            <w:rFonts w:ascii="Cambria Math" w:hAnsi="Cambria Math"/>
            <w:sz w:val="22"/>
          </w:rPr>
          <m:t xml:space="preserve"> </m:t>
        </m:r>
      </m:oMath>
      <w:r>
        <w:t>by ionising radiation in a volume element and the mass, d</w:t>
      </w:r>
      <w:r>
        <w:rPr>
          <w:i/>
        </w:rPr>
        <w:t>m</w:t>
      </w:r>
      <w:r>
        <w:t>, of the matter in that volume:</w:t>
      </w:r>
    </w:p>
    <w:p w14:paraId="3436B990" w14:textId="77777777" w:rsidR="00E72CA9" w:rsidRDefault="00E72CA9">
      <w:pPr>
        <w:pStyle w:val="Annalstext"/>
        <w:tabs>
          <w:tab w:val="clear" w:pos="502"/>
        </w:tabs>
        <w:ind w:left="284" w:firstLine="0"/>
      </w:pPr>
    </w:p>
    <w:p w14:paraId="32799F55" w14:textId="77777777" w:rsidR="00E72CA9" w:rsidRDefault="00D516E3">
      <w:pPr>
        <w:pStyle w:val="Annalstext"/>
        <w:tabs>
          <w:tab w:val="clear" w:pos="502"/>
        </w:tabs>
        <w:ind w:left="284" w:firstLine="0"/>
        <w:jc w:val="right"/>
      </w:pPr>
      <w:r>
        <w:t xml:space="preserve">  </w:t>
      </w:r>
      <w:r>
        <w:tab/>
      </w:r>
      <w:r>
        <w:rPr>
          <w:noProof/>
          <w:position w:val="-24"/>
          <w:lang w:eastAsia="en-GB"/>
        </w:rPr>
        <w:drawing>
          <wp:inline distT="0" distB="0" distL="0" distR="0" wp14:anchorId="6CD2E25A" wp14:editId="7142807E">
            <wp:extent cx="522605" cy="382905"/>
            <wp:effectExtent l="0" t="0" r="0" b="0"/>
            <wp:docPr id="17" name="Picture 61910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22605" cy="382905"/>
                    </a:xfrm>
                    <a:prstGeom prst="rect">
                      <a:avLst/>
                    </a:prstGeom>
                    <a:noFill/>
                    <a:ln>
                      <a:noFill/>
                    </a:ln>
                  </pic:spPr>
                </pic:pic>
              </a:graphicData>
            </a:graphic>
          </wp:inline>
        </w:drawing>
      </w:r>
      <w:r>
        <w:tab/>
      </w:r>
      <w:r>
        <w:tab/>
      </w:r>
      <w:r>
        <w:tab/>
      </w:r>
      <w:r>
        <w:tab/>
      </w:r>
      <w:r>
        <w:tab/>
      </w:r>
      <w:r>
        <w:tab/>
        <w:t>(A.1)</w:t>
      </w:r>
    </w:p>
    <w:p w14:paraId="7EE2476F" w14:textId="77777777" w:rsidR="00E72CA9" w:rsidRDefault="00E72CA9">
      <w:pPr>
        <w:pStyle w:val="Annalstext"/>
        <w:tabs>
          <w:tab w:val="clear" w:pos="502"/>
        </w:tabs>
        <w:ind w:left="284" w:firstLine="0"/>
      </w:pPr>
    </w:p>
    <w:p w14:paraId="49DB5912" w14:textId="77777777" w:rsidR="00E72CA9" w:rsidRDefault="00D516E3">
      <w:pPr>
        <w:pStyle w:val="ICRPannexparagraph"/>
        <w:ind w:left="0"/>
      </w:pPr>
      <w:r>
        <w:t xml:space="preserve">The international System </w:t>
      </w:r>
      <w:r>
        <w:rPr>
          <w:rFonts w:hint="eastAsia"/>
        </w:rPr>
        <w:t>(</w:t>
      </w:r>
      <w:r>
        <w:t>SI) of unit of absorbed dose is J kg</w:t>
      </w:r>
      <w:r>
        <w:rPr>
          <w:vertAlign w:val="superscript"/>
        </w:rPr>
        <w:t>−1</w:t>
      </w:r>
      <w:r>
        <w:t xml:space="preserve"> and its special name is gray (Gy). Absorbed dose is derived from the mean value of the stochastic quantity of energy imparted, </w:t>
      </w:r>
      <w:r>
        <w:sym w:font="Symbol" w:char="F065"/>
      </w:r>
      <w:r>
        <w:t>, and does not reflect the random fluctuations of the interaction events in tissue. While it is defined at any point in matter, its value is obtained as an average over a mass element d</w:t>
      </w:r>
      <w:r>
        <w:rPr>
          <w:i/>
        </w:rPr>
        <w:t>m</w:t>
      </w:r>
      <w:r>
        <w:t xml:space="preserve"> and hence over many atoms or molecules of matter.</w:t>
      </w:r>
    </w:p>
    <w:p w14:paraId="7EF4E92B" w14:textId="77777777" w:rsidR="00E72CA9" w:rsidRDefault="00D516E3">
      <w:pPr>
        <w:pStyle w:val="ICRPannexparagraph"/>
        <w:ind w:left="0"/>
      </w:pPr>
      <w:r>
        <w:t>When using the quantity absorbed dose in radiological protection, doses are averaged over tissue volumes. It is assumed that for low doses, the mean value of absorbed dose averaged over a specific organ or tissue can be correlated with radiation detriment for stochastic effects in that tissue with an accuracy sufficient for the purposes of radiological protection. The averaging of absorbed dose is carried out over the volume of a specified organ (e.g. liver) or tissue (e.g. active bone marrow) or the sensitive region of a tissue (e.g. endosteal surfaces of the skeleton).</w:t>
      </w:r>
    </w:p>
    <w:p w14:paraId="14A20A77" w14:textId="77777777" w:rsidR="00E72CA9" w:rsidRDefault="00D516E3">
      <w:pPr>
        <w:pStyle w:val="ICRPannexparagraph"/>
        <w:ind w:left="0"/>
      </w:pPr>
      <w:r>
        <w:t xml:space="preserve">Equivalent dose, </w:t>
      </w:r>
      <w:r>
        <w:rPr>
          <w:i/>
        </w:rPr>
        <w:t>H</w:t>
      </w:r>
      <w:r>
        <w:rPr>
          <w:vertAlign w:val="subscript"/>
        </w:rPr>
        <w:t>T</w:t>
      </w:r>
      <w:r>
        <w:t xml:space="preserve"> to a tissue or organ is defined as:</w:t>
      </w:r>
    </w:p>
    <w:p w14:paraId="277823D1" w14:textId="77777777" w:rsidR="00E72CA9" w:rsidRDefault="00E72CA9">
      <w:pPr>
        <w:pStyle w:val="Annalstext"/>
        <w:tabs>
          <w:tab w:val="clear" w:pos="502"/>
        </w:tabs>
        <w:ind w:left="284" w:firstLine="0"/>
      </w:pPr>
    </w:p>
    <w:p w14:paraId="4702BF53" w14:textId="77777777" w:rsidR="00E72CA9" w:rsidRDefault="00AD0DD0">
      <w:pPr>
        <w:pStyle w:val="Annalstext"/>
        <w:tabs>
          <w:tab w:val="clear" w:pos="502"/>
        </w:tabs>
        <w:ind w:left="284" w:firstLine="0"/>
        <w:jc w:val="right"/>
      </w:pPr>
      <m:oMath>
        <m:sSub>
          <m:sSubPr>
            <m:ctrlPr>
              <w:rPr>
                <w:rFonts w:ascii="Cambria Math" w:hAnsi="Cambria Math"/>
                <w:i/>
              </w:rPr>
            </m:ctrlPr>
          </m:sSubPr>
          <m:e>
            <m:r>
              <w:rPr>
                <w:rFonts w:ascii="Cambria Math" w:hAnsi="Cambria Math"/>
              </w:rPr>
              <m:t>H</m:t>
            </m:r>
          </m:e>
          <m:sub>
            <m:r>
              <m:rPr>
                <m:sty m:val="p"/>
              </m:rPr>
              <w:rPr>
                <w:rFonts w:ascii="Cambria Math" w:hAnsi="Cambria Math"/>
              </w:rPr>
              <m:t>T</m:t>
            </m:r>
            <m:r>
              <w:rPr>
                <w:rFonts w:ascii="Cambria Math" w:hAnsi="Cambria Math"/>
              </w:rPr>
              <m:t xml:space="preserve"> =</m:t>
            </m:r>
          </m:sub>
        </m:sSub>
        <m:nary>
          <m:naryPr>
            <m:chr m:val="∑"/>
            <m:limLoc m:val="undOvr"/>
            <m:supHide m:val="1"/>
            <m:ctrlPr>
              <w:rPr>
                <w:rFonts w:ascii="Cambria Math" w:hAnsi="Cambria Math"/>
                <w:i/>
              </w:rPr>
            </m:ctrlPr>
          </m:naryPr>
          <m:sub>
            <m:r>
              <m:rPr>
                <m:sty m:val="p"/>
              </m:rPr>
              <w:rPr>
                <w:rFonts w:ascii="Cambria Math" w:hAnsi="Cambria Math"/>
              </w:rPr>
              <m:t>R</m:t>
            </m:r>
          </m:sub>
          <m:sup/>
          <m:e>
            <m:sSub>
              <m:sSubPr>
                <m:ctrlPr>
                  <w:rPr>
                    <w:rFonts w:ascii="Cambria Math" w:hAnsi="Cambria Math"/>
                    <w:i/>
                  </w:rPr>
                </m:ctrlPr>
              </m:sSubPr>
              <m:e>
                <m:r>
                  <w:rPr>
                    <w:rFonts w:ascii="Cambria Math" w:hAnsi="Cambria Math"/>
                  </w:rPr>
                  <m:t>w</m:t>
                </m:r>
              </m:e>
              <m:sub>
                <m:r>
                  <w:rPr>
                    <w:rFonts w:ascii="Cambria Math" w:hAnsi="Cambria Math"/>
                  </w:rPr>
                  <m:t>R</m:t>
                </m:r>
              </m:sub>
            </m:sSub>
            <m:sSub>
              <m:sSubPr>
                <m:ctrlPr>
                  <w:rPr>
                    <w:rFonts w:ascii="Cambria Math" w:hAnsi="Cambria Math"/>
                    <w:i/>
                  </w:rPr>
                </m:ctrlPr>
              </m:sSubPr>
              <m:e>
                <m:r>
                  <w:rPr>
                    <w:rFonts w:ascii="Cambria Math" w:hAnsi="Cambria Math"/>
                  </w:rPr>
                  <m:t>D</m:t>
                </m:r>
              </m:e>
              <m:sub>
                <m:r>
                  <m:rPr>
                    <m:sty m:val="p"/>
                  </m:rPr>
                  <w:rPr>
                    <w:rFonts w:ascii="Cambria Math" w:hAnsi="Cambria Math"/>
                  </w:rPr>
                  <m:t>T,R</m:t>
                </m:r>
              </m:sub>
            </m:sSub>
          </m:e>
        </m:nary>
      </m:oMath>
      <w:r w:rsidR="00D516E3">
        <w:t xml:space="preserve"> </w:t>
      </w:r>
      <w:r w:rsidR="00D516E3">
        <w:tab/>
      </w:r>
      <w:r w:rsidR="00D516E3">
        <w:tab/>
      </w:r>
      <w:r w:rsidR="00D516E3">
        <w:tab/>
      </w:r>
      <w:r w:rsidR="00D516E3">
        <w:tab/>
      </w:r>
      <w:r w:rsidR="00D516E3">
        <w:tab/>
      </w:r>
      <w:r w:rsidR="00D516E3">
        <w:tab/>
        <w:t>(A.2)</w:t>
      </w:r>
    </w:p>
    <w:p w14:paraId="4F72A80C" w14:textId="77777777" w:rsidR="00E72CA9" w:rsidRDefault="00E72CA9">
      <w:pPr>
        <w:pStyle w:val="Annalstext"/>
        <w:tabs>
          <w:tab w:val="clear" w:pos="502"/>
        </w:tabs>
        <w:ind w:left="284" w:firstLine="0"/>
      </w:pPr>
    </w:p>
    <w:p w14:paraId="7CA5A67A" w14:textId="77777777" w:rsidR="00E72CA9" w:rsidRDefault="00D516E3">
      <w:pPr>
        <w:pStyle w:val="Annalstext"/>
        <w:tabs>
          <w:tab w:val="clear" w:pos="502"/>
          <w:tab w:val="clear" w:pos="644"/>
        </w:tabs>
        <w:ind w:left="0" w:firstLine="0"/>
      </w:pPr>
      <w:r>
        <w:t xml:space="preserve">where </w:t>
      </w:r>
      <w:proofErr w:type="spellStart"/>
      <w:r>
        <w:rPr>
          <w:i/>
        </w:rPr>
        <w:t>w</w:t>
      </w:r>
      <w:r>
        <w:rPr>
          <w:vertAlign w:val="subscript"/>
        </w:rPr>
        <w:t>R</w:t>
      </w:r>
      <w:proofErr w:type="spellEnd"/>
      <w:r>
        <w:rPr>
          <w:vertAlign w:val="subscript"/>
        </w:rPr>
        <w:t xml:space="preserve"> </w:t>
      </w:r>
      <w:r>
        <w:t xml:space="preserve">is the radiation weighting factor for radiation type </w:t>
      </w:r>
      <w:r>
        <w:rPr>
          <w:i/>
        </w:rPr>
        <w:t>R</w:t>
      </w:r>
      <w:r>
        <w:t xml:space="preserve"> and </w:t>
      </w:r>
      <w:r>
        <w:rPr>
          <w:i/>
        </w:rPr>
        <w:t>D</w:t>
      </w:r>
      <w:r>
        <w:rPr>
          <w:vertAlign w:val="subscript"/>
        </w:rPr>
        <w:t>T,R</w:t>
      </w:r>
      <w:r>
        <w:t xml:space="preserve"> is the mean absorbed dose from the incident radiation type </w:t>
      </w:r>
      <w:r>
        <w:rPr>
          <w:i/>
        </w:rPr>
        <w:t>R</w:t>
      </w:r>
      <w:r>
        <w:t xml:space="preserve"> on the body for a tissue or organ </w:t>
      </w:r>
      <w:r>
        <w:rPr>
          <w:i/>
        </w:rPr>
        <w:t>T</w:t>
      </w:r>
      <w:r>
        <w:t xml:space="preserve"> of the age-specified Reference Male or Female. Since </w:t>
      </w:r>
      <w:proofErr w:type="spellStart"/>
      <w:r>
        <w:rPr>
          <w:i/>
        </w:rPr>
        <w:t>w</w:t>
      </w:r>
      <w:r>
        <w:rPr>
          <w:vertAlign w:val="subscript"/>
        </w:rPr>
        <w:t>R</w:t>
      </w:r>
      <w:proofErr w:type="spellEnd"/>
      <w:r>
        <w:t xml:space="preserve"> is dimensionless, the SI unit for the equivalent dose is the same as for absorbed dose, J kg</w:t>
      </w:r>
      <w:r>
        <w:rPr>
          <w:vertAlign w:val="superscript"/>
        </w:rPr>
        <w:t>−1</w:t>
      </w:r>
      <w:r>
        <w:t xml:space="preserve">, and its special name is sievert (Sv). Values of </w:t>
      </w:r>
      <w:proofErr w:type="spellStart"/>
      <w:r>
        <w:rPr>
          <w:i/>
        </w:rPr>
        <w:t>w</w:t>
      </w:r>
      <w:r>
        <w:rPr>
          <w:vertAlign w:val="subscript"/>
        </w:rPr>
        <w:t>R</w:t>
      </w:r>
      <w:proofErr w:type="spellEnd"/>
      <w:r>
        <w:t xml:space="preserve"> are shown in Table A.1 and are taken from </w:t>
      </w:r>
      <w:r>
        <w:rPr>
          <w:i/>
          <w:iCs/>
        </w:rPr>
        <w:t>Publication 103</w:t>
      </w:r>
      <w:r>
        <w:t xml:space="preserve"> </w:t>
      </w:r>
      <w:r>
        <w:fldChar w:fldCharType="begin"/>
      </w:r>
      <w:r>
        <w:instrText xml:space="preserve"> ADDIN EN.CITE &lt;EndNote&gt;&lt;Cite&gt;&lt;Author&gt;ICRP&lt;/Author&gt;&lt;Year&gt;2007&lt;/Year&gt;&lt;RecNum&gt;1551&lt;/RecNum&gt;&lt;DisplayText&gt;(ICRP, 2007b)&lt;/DisplayText&gt;&lt;record&gt;&lt;rec-number&gt;1551&lt;/rec-number&gt;&lt;foreign-keys&gt;&lt;key app="EN" db-id="tewdatv2kswps0ep9wgxe0tjvatvprte2wrd" timestamp="1681399860"&gt;1551&lt;/key&gt;&lt;/foreign-keys&gt;&lt;ref-type name="Report"&gt;27&lt;/ref-type&gt;&lt;contributors&gt;&lt;authors&gt;&lt;author&gt;ICRP,&lt;/author&gt;&lt;/authors&gt;&lt;secondary-authors&gt;&lt;author&gt;International Commission on Radiological Protection&lt;/author&gt;&lt;/secondary-authors&gt;&lt;/contributors&gt;&lt;titles&gt;&lt;title&gt;The 2007 Recommendations of the International Commission on Radiological Protection&lt;/title&gt;&lt;secondary-title&gt;ICRP Publication 103&lt;/secondary-title&gt;&lt;/titles&gt;&lt;keywords&gt;&lt;keyword&gt;Justification&lt;/keyword&gt;&lt;keyword&gt;Optimisation&lt;/keyword&gt;&lt;keyword&gt;Dose limits&lt;/keyword&gt;&lt;keyword&gt;Constraints&lt;/keyword&gt;&lt;keyword&gt;Reference Levels&lt;/keyword&gt;&lt;/keywords&gt;&lt;dates&gt;&lt;year&gt;2007&lt;/year&gt;&lt;/dates&gt;&lt;pub-location&gt;Oxford, UK&lt;/pub-location&gt;&lt;publisher&gt;Elsevier&lt;/publisher&gt;&lt;orig-pub&gt;Ann. ICRP 37(2-4)&lt;/orig-pub&gt;&lt;isbn&gt;ICRP Publication 103&lt;/isbn&gt;&lt;work-type&gt;ICRP Publication&lt;/work-type&gt;&lt;urls&gt;&lt;/urls&gt;&lt;/record&gt;&lt;/Cite&gt;&lt;/EndNote&gt;</w:instrText>
      </w:r>
      <w:r>
        <w:fldChar w:fldCharType="separate"/>
      </w:r>
      <w:r>
        <w:rPr>
          <w:noProof/>
        </w:rPr>
        <w:t>(ICRP, 2007)</w:t>
      </w:r>
      <w:r>
        <w:fldChar w:fldCharType="end"/>
      </w:r>
      <w:r>
        <w:t>.</w:t>
      </w:r>
    </w:p>
    <w:p w14:paraId="79F09984" w14:textId="77777777" w:rsidR="00E72CA9" w:rsidRDefault="00E72CA9">
      <w:pPr>
        <w:pStyle w:val="af0"/>
        <w:tabs>
          <w:tab w:val="left" w:pos="540"/>
          <w:tab w:val="left" w:pos="720"/>
          <w:tab w:val="left" w:pos="852"/>
        </w:tabs>
        <w:adjustRightInd/>
        <w:spacing w:before="0" w:after="0" w:line="240" w:lineRule="auto"/>
        <w:jc w:val="both"/>
        <w:rPr>
          <w:b w:val="0"/>
          <w:szCs w:val="24"/>
        </w:rPr>
      </w:pPr>
    </w:p>
    <w:p w14:paraId="1E3E5F41" w14:textId="77777777" w:rsidR="00E72CA9" w:rsidRDefault="00D516E3">
      <w:pPr>
        <w:pStyle w:val="Annalstext"/>
        <w:tabs>
          <w:tab w:val="clear" w:pos="502"/>
          <w:tab w:val="clear" w:pos="644"/>
        </w:tabs>
        <w:ind w:left="0" w:firstLine="0"/>
      </w:pPr>
      <w:r>
        <w:rPr>
          <w:b/>
          <w:szCs w:val="24"/>
        </w:rPr>
        <w:t>Table A.</w:t>
      </w:r>
      <w:r>
        <w:rPr>
          <w:b/>
          <w:szCs w:val="24"/>
        </w:rPr>
        <w:fldChar w:fldCharType="begin"/>
      </w:r>
      <w:r>
        <w:rPr>
          <w:b/>
          <w:szCs w:val="24"/>
        </w:rPr>
        <w:instrText xml:space="preserve"> SEQ Table_2. \* ARABIC </w:instrText>
      </w:r>
      <w:r>
        <w:rPr>
          <w:b/>
          <w:szCs w:val="24"/>
        </w:rPr>
        <w:fldChar w:fldCharType="separate"/>
      </w:r>
      <w:r>
        <w:rPr>
          <w:b/>
          <w:noProof/>
          <w:szCs w:val="24"/>
        </w:rPr>
        <w:t>1</w:t>
      </w:r>
      <w:r>
        <w:rPr>
          <w:b/>
          <w:szCs w:val="24"/>
        </w:rPr>
        <w:fldChar w:fldCharType="end"/>
      </w:r>
      <w:r>
        <w:rPr>
          <w:b/>
          <w:szCs w:val="24"/>
        </w:rPr>
        <w:t xml:space="preserve">. ICRP radiation weighting factors </w:t>
      </w:r>
      <w:r>
        <w:fldChar w:fldCharType="begin"/>
      </w:r>
      <w:r>
        <w:instrText xml:space="preserve"> ADDIN EN.CITE &lt;EndNote&gt;&lt;Cite&gt;&lt;Author&gt;ICRP&lt;/Author&gt;&lt;Year&gt;2007&lt;/Year&gt;&lt;RecNum&gt;1551&lt;/RecNum&gt;&lt;DisplayText&gt;(ICRP, 2007b)&lt;/DisplayText&gt;&lt;record&gt;&lt;rec-number&gt;1551&lt;/rec-number&gt;&lt;foreign-keys&gt;&lt;key app="EN" db-id="tewdatv2kswps0ep9wgxe0tjvatvprte2wrd" timestamp="1681399860"&gt;1551&lt;/key&gt;&lt;/foreign-keys&gt;&lt;ref-type name="Report"&gt;27&lt;/ref-type&gt;&lt;contributors&gt;&lt;authors&gt;&lt;author&gt;ICRP,&lt;/author&gt;&lt;/authors&gt;&lt;secondary-authors&gt;&lt;author&gt;International Commission on Radiological Protection&lt;/author&gt;&lt;/secondary-authors&gt;&lt;/contributors&gt;&lt;titles&gt;&lt;title&gt;The 2007 Recommendations of the International Commission on Radiological Protection&lt;/title&gt;&lt;secondary-title&gt;ICRP Publication 103&lt;/secondary-title&gt;&lt;/titles&gt;&lt;keywords&gt;&lt;keyword&gt;Justification&lt;/keyword&gt;&lt;keyword&gt;Optimisation&lt;/keyword&gt;&lt;keyword&gt;Dose limits&lt;/keyword&gt;&lt;keyword&gt;Constraints&lt;/keyword&gt;&lt;keyword&gt;Reference Levels&lt;/keyword&gt;&lt;/keywords&gt;&lt;dates&gt;&lt;year&gt;2007&lt;/year&gt;&lt;/dates&gt;&lt;pub-location&gt;Oxford, UK&lt;/pub-location&gt;&lt;publisher&gt;Elsevier&lt;/publisher&gt;&lt;orig-pub&gt;Ann. ICRP 37(2-4)&lt;/orig-pub&gt;&lt;isbn&gt;ICRP Publication 103&lt;/isbn&gt;&lt;work-type&gt;ICRP Publication&lt;/work-type&gt;&lt;urls&gt;&lt;/urls&gt;&lt;/record&gt;&lt;/Cite&gt;&lt;/EndNote&gt;</w:instrText>
      </w:r>
      <w:r>
        <w:fldChar w:fldCharType="separate"/>
      </w:r>
      <w:r>
        <w:rPr>
          <w:noProof/>
        </w:rPr>
        <w:t>(ICRP, 2007)</w:t>
      </w:r>
      <w:r>
        <w:fldChar w:fldCharType="end"/>
      </w:r>
      <w:r>
        <w:t>.</w:t>
      </w:r>
    </w:p>
    <w:p w14:paraId="59D915A8" w14:textId="77777777" w:rsidR="00E72CA9" w:rsidRDefault="00D516E3">
      <w:pPr>
        <w:pStyle w:val="af0"/>
        <w:tabs>
          <w:tab w:val="left" w:pos="540"/>
          <w:tab w:val="left" w:pos="720"/>
          <w:tab w:val="left" w:pos="852"/>
        </w:tabs>
        <w:adjustRightInd/>
        <w:spacing w:before="0" w:after="0" w:line="260" w:lineRule="exact"/>
        <w:jc w:val="both"/>
        <w:rPr>
          <w:b w:val="0"/>
          <w:szCs w:val="24"/>
        </w:rPr>
      </w:pPr>
      <w:r>
        <w:rPr>
          <w:b w:val="0"/>
          <w:szCs w:val="24"/>
        </w:rPr>
        <w:t>.</w:t>
      </w:r>
    </w:p>
    <w:tbl>
      <w:tblPr>
        <w:tblW w:w="0" w:type="auto"/>
        <w:tblLayout w:type="fixed"/>
        <w:tblLook w:val="01E0" w:firstRow="1" w:lastRow="1" w:firstColumn="1" w:lastColumn="1" w:noHBand="0" w:noVBand="0"/>
      </w:tblPr>
      <w:tblGrid>
        <w:gridCol w:w="4287"/>
        <w:gridCol w:w="4077"/>
      </w:tblGrid>
      <w:tr w:rsidR="00E72CA9" w14:paraId="1E9D52F7" w14:textId="77777777">
        <w:trPr>
          <w:cantSplit/>
          <w:trHeight w:val="309"/>
        </w:trPr>
        <w:tc>
          <w:tcPr>
            <w:tcW w:w="4287" w:type="dxa"/>
            <w:tcBorders>
              <w:top w:val="single" w:sz="4" w:space="0" w:color="auto"/>
              <w:bottom w:val="single" w:sz="4" w:space="0" w:color="auto"/>
            </w:tcBorders>
          </w:tcPr>
          <w:p w14:paraId="7820AE16"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Radiation Type</w:t>
            </w:r>
          </w:p>
        </w:tc>
        <w:tc>
          <w:tcPr>
            <w:tcW w:w="4077" w:type="dxa"/>
            <w:tcBorders>
              <w:top w:val="single" w:sz="4" w:space="0" w:color="auto"/>
              <w:bottom w:val="single" w:sz="4" w:space="0" w:color="auto"/>
            </w:tcBorders>
          </w:tcPr>
          <w:p w14:paraId="18C37CF4"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 xml:space="preserve">Radiation Weighting Factor, </w:t>
            </w:r>
            <w:proofErr w:type="spellStart"/>
            <w:r>
              <w:rPr>
                <w:i/>
                <w:sz w:val="22"/>
                <w:szCs w:val="22"/>
              </w:rPr>
              <w:t>w</w:t>
            </w:r>
            <w:r>
              <w:rPr>
                <w:sz w:val="22"/>
                <w:szCs w:val="22"/>
                <w:vertAlign w:val="subscript"/>
              </w:rPr>
              <w:t>R</w:t>
            </w:r>
            <w:proofErr w:type="spellEnd"/>
          </w:p>
        </w:tc>
      </w:tr>
      <w:tr w:rsidR="00E72CA9" w14:paraId="43E523E4" w14:textId="77777777">
        <w:trPr>
          <w:trHeight w:val="174"/>
        </w:trPr>
        <w:tc>
          <w:tcPr>
            <w:tcW w:w="4287" w:type="dxa"/>
            <w:tcBorders>
              <w:top w:val="single" w:sz="4" w:space="0" w:color="auto"/>
            </w:tcBorders>
          </w:tcPr>
          <w:p w14:paraId="14849BA9"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Photons</w:t>
            </w:r>
          </w:p>
        </w:tc>
        <w:tc>
          <w:tcPr>
            <w:tcW w:w="4077" w:type="dxa"/>
            <w:tcBorders>
              <w:top w:val="single" w:sz="4" w:space="0" w:color="auto"/>
            </w:tcBorders>
          </w:tcPr>
          <w:p w14:paraId="3E545246"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1</w:t>
            </w:r>
          </w:p>
        </w:tc>
      </w:tr>
      <w:tr w:rsidR="00E72CA9" w14:paraId="46F2C10B" w14:textId="77777777">
        <w:tc>
          <w:tcPr>
            <w:tcW w:w="4287" w:type="dxa"/>
          </w:tcPr>
          <w:p w14:paraId="489EC136"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Electrons and muons</w:t>
            </w:r>
          </w:p>
        </w:tc>
        <w:tc>
          <w:tcPr>
            <w:tcW w:w="4077" w:type="dxa"/>
          </w:tcPr>
          <w:p w14:paraId="0D67173A"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1</w:t>
            </w:r>
          </w:p>
        </w:tc>
      </w:tr>
      <w:tr w:rsidR="00E72CA9" w14:paraId="10EA9D65" w14:textId="77777777">
        <w:tc>
          <w:tcPr>
            <w:tcW w:w="4287" w:type="dxa"/>
          </w:tcPr>
          <w:p w14:paraId="69E4ACF1"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 xml:space="preserve">Protons and charged </w:t>
            </w:r>
            <w:proofErr w:type="spellStart"/>
            <w:r>
              <w:rPr>
                <w:sz w:val="22"/>
                <w:szCs w:val="22"/>
              </w:rPr>
              <w:t>pions</w:t>
            </w:r>
            <w:proofErr w:type="spellEnd"/>
          </w:p>
        </w:tc>
        <w:tc>
          <w:tcPr>
            <w:tcW w:w="4077" w:type="dxa"/>
          </w:tcPr>
          <w:p w14:paraId="04CB939D" w14:textId="77777777" w:rsidR="00E72CA9" w:rsidRDefault="00D516E3">
            <w:pPr>
              <w:pStyle w:val="Table"/>
              <w:keepNext/>
              <w:keepLines/>
              <w:tabs>
                <w:tab w:val="left" w:pos="540"/>
                <w:tab w:val="left" w:pos="720"/>
                <w:tab w:val="left" w:pos="852"/>
              </w:tabs>
              <w:spacing w:line="260" w:lineRule="exact"/>
              <w:ind w:firstLineChars="50" w:firstLine="110"/>
              <w:rPr>
                <w:sz w:val="22"/>
                <w:szCs w:val="22"/>
              </w:rPr>
            </w:pPr>
            <w:r>
              <w:rPr>
                <w:sz w:val="22"/>
                <w:szCs w:val="22"/>
              </w:rPr>
              <w:t>2</w:t>
            </w:r>
          </w:p>
        </w:tc>
      </w:tr>
      <w:tr w:rsidR="00E72CA9" w14:paraId="06848003" w14:textId="77777777">
        <w:tc>
          <w:tcPr>
            <w:tcW w:w="4287" w:type="dxa"/>
          </w:tcPr>
          <w:p w14:paraId="13A4D761"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lang w:val="fr-FR"/>
              </w:rPr>
            </w:pPr>
            <w:r>
              <w:rPr>
                <w:sz w:val="22"/>
                <w:szCs w:val="22"/>
                <w:lang w:val="fr-FR"/>
              </w:rPr>
              <w:t>Alpha particles, fission fragments, heavy ions</w:t>
            </w:r>
          </w:p>
        </w:tc>
        <w:tc>
          <w:tcPr>
            <w:tcW w:w="4077" w:type="dxa"/>
          </w:tcPr>
          <w:p w14:paraId="35E753BE"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20</w:t>
            </w:r>
          </w:p>
        </w:tc>
      </w:tr>
      <w:tr w:rsidR="00E72CA9" w14:paraId="517680EE" w14:textId="77777777">
        <w:tc>
          <w:tcPr>
            <w:tcW w:w="4287" w:type="dxa"/>
            <w:tcBorders>
              <w:bottom w:val="single" w:sz="4" w:space="0" w:color="auto"/>
            </w:tcBorders>
          </w:tcPr>
          <w:p w14:paraId="242F9A5B"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Neutrons</w:t>
            </w:r>
          </w:p>
        </w:tc>
        <w:tc>
          <w:tcPr>
            <w:tcW w:w="4077" w:type="dxa"/>
            <w:tcBorders>
              <w:bottom w:val="single" w:sz="4" w:space="0" w:color="auto"/>
            </w:tcBorders>
          </w:tcPr>
          <w:p w14:paraId="51414F6D" w14:textId="77777777" w:rsidR="00E72CA9" w:rsidRDefault="00D516E3">
            <w:pPr>
              <w:pStyle w:val="Table"/>
              <w:keepNext/>
              <w:keepLines/>
              <w:tabs>
                <w:tab w:val="left" w:pos="540"/>
                <w:tab w:val="left" w:pos="720"/>
                <w:tab w:val="left" w:pos="852"/>
              </w:tabs>
              <w:spacing w:line="260" w:lineRule="exact"/>
              <w:ind w:firstLineChars="50" w:firstLine="110"/>
              <w:jc w:val="both"/>
              <w:rPr>
                <w:sz w:val="22"/>
                <w:szCs w:val="22"/>
              </w:rPr>
            </w:pPr>
            <w:r>
              <w:rPr>
                <w:sz w:val="22"/>
                <w:szCs w:val="22"/>
              </w:rPr>
              <w:t>Continuous function of neutron energy</w:t>
            </w:r>
          </w:p>
          <w:p w14:paraId="5190F58B" w14:textId="77777777" w:rsidR="00E72CA9" w:rsidRDefault="00D516E3">
            <w:pPr>
              <w:pStyle w:val="Annalstext"/>
              <w:tabs>
                <w:tab w:val="clear" w:pos="502"/>
                <w:tab w:val="clear" w:pos="644"/>
              </w:tabs>
              <w:ind w:left="0" w:firstLine="0"/>
            </w:pPr>
            <w:r>
              <w:rPr>
                <w:sz w:val="22"/>
                <w:szCs w:val="22"/>
              </w:rPr>
              <w:t xml:space="preserve">See Eq. 4.3 of </w:t>
            </w:r>
            <w:r>
              <w:rPr>
                <w:i/>
                <w:sz w:val="22"/>
                <w:szCs w:val="22"/>
              </w:rPr>
              <w:t xml:space="preserve">Publication 103 </w:t>
            </w:r>
            <w:r>
              <w:fldChar w:fldCharType="begin"/>
            </w:r>
            <w:r>
              <w:instrText xml:space="preserve"> ADDIN EN.CITE &lt;EndNote&gt;&lt;Cite&gt;&lt;Author&gt;ICRP&lt;/Author&gt;&lt;Year&gt;2007&lt;/Year&gt;&lt;RecNum&gt;1551&lt;/RecNum&gt;&lt;DisplayText&gt;(ICRP, 2007b)&lt;/DisplayText&gt;&lt;record&gt;&lt;rec-number&gt;1551&lt;/rec-number&gt;&lt;foreign-keys&gt;&lt;key app="EN" db-id="tewdatv2kswps0ep9wgxe0tjvatvprte2wrd" timestamp="1681399860"&gt;1551&lt;/key&gt;&lt;/foreign-keys&gt;&lt;ref-type name="Report"&gt;27&lt;/ref-type&gt;&lt;contributors&gt;&lt;authors&gt;&lt;author&gt;ICRP,&lt;/author&gt;&lt;/authors&gt;&lt;secondary-authors&gt;&lt;author&gt;International Commission on Radiological Protection&lt;/author&gt;&lt;/secondary-authors&gt;&lt;/contributors&gt;&lt;titles&gt;&lt;title&gt;The 2007 Recommendations of the International Commission on Radiological Protection&lt;/title&gt;&lt;secondary-title&gt;ICRP Publication 103&lt;/secondary-title&gt;&lt;/titles&gt;&lt;keywords&gt;&lt;keyword&gt;Justification&lt;/keyword&gt;&lt;keyword&gt;Optimisation&lt;/keyword&gt;&lt;keyword&gt;Dose limits&lt;/keyword&gt;&lt;keyword&gt;Constraints&lt;/keyword&gt;&lt;keyword&gt;Reference Levels&lt;/keyword&gt;&lt;/keywords&gt;&lt;dates&gt;&lt;year&gt;2007&lt;/year&gt;&lt;/dates&gt;&lt;pub-location&gt;Oxford, UK&lt;/pub-location&gt;&lt;publisher&gt;Elsevier&lt;/publisher&gt;&lt;orig-pub&gt;Ann. ICRP 37(2-4)&lt;/orig-pub&gt;&lt;isbn&gt;ICRP Publication 103&lt;/isbn&gt;&lt;work-type&gt;ICRP Publication&lt;/work-type&gt;&lt;urls&gt;&lt;/urls&gt;&lt;/record&gt;&lt;/Cite&gt;&lt;/EndNote&gt;</w:instrText>
            </w:r>
            <w:r>
              <w:fldChar w:fldCharType="separate"/>
            </w:r>
            <w:r>
              <w:rPr>
                <w:noProof/>
              </w:rPr>
              <w:t>(ICRP, 2007)</w:t>
            </w:r>
            <w:r>
              <w:fldChar w:fldCharType="end"/>
            </w:r>
            <w:r>
              <w:t>.</w:t>
            </w:r>
          </w:p>
          <w:p w14:paraId="4128B362" w14:textId="77777777" w:rsidR="00E72CA9" w:rsidRDefault="00E72CA9">
            <w:pPr>
              <w:pStyle w:val="Table"/>
              <w:keepNext/>
              <w:keepLines/>
              <w:tabs>
                <w:tab w:val="left" w:pos="540"/>
                <w:tab w:val="left" w:pos="720"/>
                <w:tab w:val="left" w:pos="852"/>
              </w:tabs>
              <w:spacing w:line="260" w:lineRule="exact"/>
              <w:ind w:firstLineChars="50" w:firstLine="110"/>
              <w:jc w:val="both"/>
              <w:rPr>
                <w:sz w:val="22"/>
                <w:szCs w:val="22"/>
              </w:rPr>
            </w:pPr>
          </w:p>
        </w:tc>
      </w:tr>
    </w:tbl>
    <w:p w14:paraId="4A3D0B7E" w14:textId="77777777" w:rsidR="00E72CA9" w:rsidRDefault="00E72CA9">
      <w:pPr>
        <w:pStyle w:val="ICRPannexparagraph"/>
        <w:numPr>
          <w:ilvl w:val="0"/>
          <w:numId w:val="0"/>
        </w:numPr>
        <w:ind w:firstLine="284"/>
      </w:pPr>
      <w:bookmarkStart w:id="174" w:name="_Toc510393103"/>
      <w:bookmarkStart w:id="175" w:name="_Toc510394588"/>
      <w:bookmarkStart w:id="176" w:name="_Toc510395631"/>
      <w:bookmarkStart w:id="177" w:name="_Toc510393104"/>
      <w:bookmarkStart w:id="178" w:name="_Toc510394589"/>
      <w:bookmarkStart w:id="179" w:name="_Toc510395632"/>
      <w:bookmarkStart w:id="180" w:name="_Toc510393105"/>
      <w:bookmarkStart w:id="181" w:name="_Toc510394590"/>
      <w:bookmarkStart w:id="182" w:name="_Toc5194860"/>
      <w:bookmarkStart w:id="183" w:name="_Toc111194092"/>
      <w:bookmarkEnd w:id="174"/>
      <w:bookmarkEnd w:id="175"/>
      <w:bookmarkEnd w:id="176"/>
      <w:bookmarkEnd w:id="177"/>
      <w:bookmarkEnd w:id="178"/>
      <w:bookmarkEnd w:id="179"/>
    </w:p>
    <w:p w14:paraId="22EEC33B" w14:textId="77777777" w:rsidR="00E72CA9" w:rsidRDefault="00E72CA9">
      <w:pPr>
        <w:pStyle w:val="ICRPannexparagraph"/>
        <w:numPr>
          <w:ilvl w:val="0"/>
          <w:numId w:val="0"/>
        </w:numPr>
        <w:ind w:firstLine="284"/>
      </w:pPr>
    </w:p>
    <w:p w14:paraId="3CC47BD6" w14:textId="77777777" w:rsidR="00E72CA9" w:rsidRDefault="00E72CA9">
      <w:pPr>
        <w:pStyle w:val="ICRPannexparagraph"/>
        <w:numPr>
          <w:ilvl w:val="0"/>
          <w:numId w:val="0"/>
        </w:numPr>
        <w:ind w:firstLine="284"/>
      </w:pPr>
    </w:p>
    <w:p w14:paraId="58CF8C92" w14:textId="77777777" w:rsidR="00E72CA9" w:rsidRDefault="00D516E3">
      <w:pPr>
        <w:pStyle w:val="ICRPannexheading2"/>
        <w:ind w:left="576"/>
        <w:outlineLvl w:val="1"/>
      </w:pPr>
      <w:bookmarkStart w:id="184" w:name="_Toc158293670"/>
      <w:bookmarkStart w:id="185" w:name="_Toc165302058"/>
      <w:r>
        <w:t>Effective dose</w:t>
      </w:r>
      <w:bookmarkEnd w:id="180"/>
      <w:bookmarkEnd w:id="181"/>
      <w:bookmarkEnd w:id="182"/>
      <w:bookmarkEnd w:id="183"/>
      <w:bookmarkEnd w:id="184"/>
      <w:bookmarkEnd w:id="185"/>
    </w:p>
    <w:p w14:paraId="2D508FFC" w14:textId="77777777" w:rsidR="00E72CA9" w:rsidRDefault="00D516E3">
      <w:pPr>
        <w:pStyle w:val="ICRPannexparagraph"/>
        <w:ind w:left="0"/>
      </w:pPr>
      <w:r>
        <w:t xml:space="preserve">The effective dose, </w:t>
      </w:r>
      <w:r>
        <w:rPr>
          <w:i/>
        </w:rPr>
        <w:t>E</w:t>
      </w:r>
      <w:r>
        <w:t xml:space="preserve">, introduced in </w:t>
      </w:r>
      <w:r>
        <w:rPr>
          <w:i/>
          <w:iCs/>
        </w:rPr>
        <w:t>Publication 60</w:t>
      </w:r>
      <w:r>
        <w:t xml:space="preserve"> </w:t>
      </w:r>
      <w:r>
        <w:fldChar w:fldCharType="begin"/>
      </w:r>
      <w:r>
        <w:instrText xml:space="preserve"> ADDIN EN.CITE &lt;EndNote&gt;&lt;Cite&gt;&lt;Author&gt;ICRP&lt;/Author&gt;&lt;Year&gt;1991&lt;/Year&gt;&lt;RecNum&gt;3289&lt;/RecNum&gt;&lt;DisplayText&gt;(ICRP, 1991b)&lt;/DisplayText&gt;&lt;record&gt;&lt;rec-number&gt;3289&lt;/rec-number&gt;&lt;foreign-keys&gt;&lt;key app="EN" db-id="rss5s0wzrpx9pwe5a0h5a9wkx9sf2zexde9d" timestamp="0"&gt;3289&lt;/key&gt;&lt;/foreign-keys&gt;&lt;ref-type name="Report"&gt;27&lt;/ref-type&gt;&lt;contributors&gt;&lt;authors&gt;&lt;author&gt;ICRP&lt;/author&gt;&lt;/authors&gt;&lt;/contributors&gt;&lt;titles&gt;&lt;title&gt;1990 Recommendations of the International Commission on Radiological Protection&lt;/title&gt;&lt;secondary-title&gt;ICRP Publication 60&lt;/secondary-title&gt;&lt;/titles&gt;&lt;periodical&gt;&lt;full-title&gt;ICRP Publication 60&lt;/full-title&gt;&lt;/periodical&gt;&lt;dates&gt;&lt;year&gt;1991&lt;/year&gt;&lt;/dates&gt;&lt;pub-location&gt;Oxford, UK&lt;/pub-location&gt;&lt;publisher&gt;Pergamon Press&lt;/publisher&gt;&lt;orig-pub&gt;Ann. ICRP 21(1-3)&lt;/orig-pub&gt;&lt;isbn&gt;ICRP Publication 60&lt;/isbn&gt;&lt;work-type&gt;ICRP Publication&lt;/work-type&gt;&lt;urls&gt;&lt;/urls&gt;&lt;/record&gt;&lt;/Cite&gt;&lt;/EndNote&gt;</w:instrText>
      </w:r>
      <w:r>
        <w:fldChar w:fldCharType="separate"/>
      </w:r>
      <w:r>
        <w:rPr>
          <w:noProof/>
        </w:rPr>
        <w:t>(ICRP, 1991)</w:t>
      </w:r>
      <w:r>
        <w:fldChar w:fldCharType="end"/>
      </w:r>
      <w:r>
        <w:t xml:space="preserve"> is the risk-related quantity in radiological protection and is defined as a weighted sum of organ equivalent doses. In accordance with the definition of effective dose in </w:t>
      </w:r>
      <w:r>
        <w:rPr>
          <w:i/>
          <w:iCs/>
        </w:rPr>
        <w:t>Publication 103</w:t>
      </w:r>
      <w:r>
        <w:t xml:space="preserve"> </w:t>
      </w:r>
      <w:r>
        <w:fldChar w:fldCharType="begin"/>
      </w:r>
      <w:r>
        <w:instrText xml:space="preserve"> ADDIN EN.CITE &lt;EndNote&gt;&lt;Cite&gt;&lt;Author&gt;ICRP&lt;/Author&gt;&lt;Year&gt;2007&lt;/Year&gt;&lt;RecNum&gt;1551&lt;/RecNum&gt;&lt;DisplayText&gt;(ICRP, 2007b)&lt;/DisplayText&gt;&lt;record&gt;&lt;rec-number&gt;1551&lt;/rec-number&gt;&lt;foreign-keys&gt;&lt;key app="EN" db-id="tewdatv2kswps0ep9wgxe0tjvatvprte2wrd" timestamp="1681399860"&gt;1551&lt;/key&gt;&lt;/foreign-keys&gt;&lt;ref-type name="Report"&gt;27&lt;/ref-type&gt;&lt;contributors&gt;&lt;authors&gt;&lt;author&gt;ICRP,&lt;/author&gt;&lt;/authors&gt;&lt;secondary-authors&gt;&lt;author&gt;International Commission on Radiological Protection&lt;/author&gt;&lt;/secondary-authors&gt;&lt;/contributors&gt;&lt;titles&gt;&lt;title&gt;The 2007 Recommendations of the International Commission on Radiological Protection&lt;/title&gt;&lt;secondary-title&gt;ICRP Publication 103&lt;/secondary-title&gt;&lt;/titles&gt;&lt;keywords&gt;&lt;keyword&gt;Justification&lt;/keyword&gt;&lt;keyword&gt;Optimisation&lt;/keyword&gt;&lt;keyword&gt;Dose limits&lt;/keyword&gt;&lt;keyword&gt;Constraints&lt;/keyword&gt;&lt;keyword&gt;Reference Levels&lt;/keyword&gt;&lt;/keywords&gt;&lt;dates&gt;&lt;year&gt;2007&lt;/year&gt;&lt;/dates&gt;&lt;pub-location&gt;Oxford, UK&lt;/pub-location&gt;&lt;publisher&gt;Elsevier&lt;/publisher&gt;&lt;orig-pub&gt;Ann. ICRP 37(2-4)&lt;/orig-pub&gt;&lt;isbn&gt;ICRP Publication 103&lt;/isbn&gt;&lt;work-type&gt;ICRP Publication&lt;/work-type&gt;&lt;urls&gt;&lt;/urls&gt;&lt;/record&gt;&lt;/Cite&gt;&lt;/EndNote&gt;</w:instrText>
      </w:r>
      <w:r>
        <w:fldChar w:fldCharType="separate"/>
      </w:r>
      <w:r>
        <w:rPr>
          <w:noProof/>
        </w:rPr>
        <w:t>(ICRP, 2007)</w:t>
      </w:r>
      <w:r>
        <w:fldChar w:fldCharType="end"/>
      </w:r>
      <w:r>
        <w:t>, the effective dose is computed as:</w:t>
      </w:r>
    </w:p>
    <w:p w14:paraId="06B09350" w14:textId="77777777" w:rsidR="00E72CA9" w:rsidRDefault="00E72CA9">
      <w:pPr>
        <w:pStyle w:val="Annalstext"/>
        <w:tabs>
          <w:tab w:val="clear" w:pos="502"/>
          <w:tab w:val="left" w:pos="540"/>
          <w:tab w:val="left" w:pos="720"/>
        </w:tabs>
        <w:ind w:left="0" w:firstLineChars="50" w:firstLine="65"/>
        <w:rPr>
          <w:sz w:val="13"/>
          <w:szCs w:val="13"/>
        </w:rPr>
      </w:pPr>
    </w:p>
    <w:p w14:paraId="3F101298" w14:textId="77777777" w:rsidR="00E72CA9" w:rsidRDefault="00D516E3">
      <w:pPr>
        <w:pStyle w:val="Annalstext"/>
        <w:tabs>
          <w:tab w:val="clear" w:pos="502"/>
          <w:tab w:val="left" w:pos="540"/>
          <w:tab w:val="left" w:pos="720"/>
        </w:tabs>
        <w:ind w:left="0" w:firstLineChars="50" w:firstLine="120"/>
        <w:jc w:val="right"/>
        <w:rPr>
          <w:szCs w:val="24"/>
        </w:rPr>
      </w:pPr>
      <w:r>
        <w:rPr>
          <w:noProof/>
          <w:snapToGrid/>
          <w:position w:val="-32"/>
          <w:lang w:eastAsia="en-GB"/>
        </w:rPr>
        <w:drawing>
          <wp:inline distT="0" distB="0" distL="0" distR="0" wp14:anchorId="1F484DE6" wp14:editId="33E1283A">
            <wp:extent cx="1437005" cy="4876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437005" cy="487680"/>
                    </a:xfrm>
                    <a:prstGeom prst="rect">
                      <a:avLst/>
                    </a:prstGeom>
                    <a:noFill/>
                    <a:ln>
                      <a:noFill/>
                    </a:ln>
                  </pic:spPr>
                </pic:pic>
              </a:graphicData>
            </a:graphic>
          </wp:inline>
        </w:drawing>
      </w:r>
      <w:r>
        <w:tab/>
      </w:r>
      <w:r>
        <w:tab/>
      </w:r>
      <w:r>
        <w:tab/>
      </w:r>
      <w:r>
        <w:tab/>
      </w:r>
      <w:r>
        <w:tab/>
        <w:t xml:space="preserve"> (A.3)</w:t>
      </w:r>
    </w:p>
    <w:p w14:paraId="66A62357" w14:textId="77777777" w:rsidR="00E72CA9" w:rsidRDefault="00D516E3">
      <w:pPr>
        <w:pStyle w:val="Annalstext"/>
        <w:tabs>
          <w:tab w:val="clear" w:pos="502"/>
          <w:tab w:val="left" w:pos="540"/>
          <w:tab w:val="left" w:pos="720"/>
        </w:tabs>
        <w:ind w:left="0" w:firstLine="0"/>
      </w:pPr>
      <w:r>
        <w:t xml:space="preserve">where </w:t>
      </w:r>
      <m:oMath>
        <m:sSubSup>
          <m:sSubSupPr>
            <m:ctrlPr>
              <w:rPr>
                <w:rFonts w:ascii="Cambria Math" w:hAnsi="Cambria Math"/>
                <w:i/>
              </w:rPr>
            </m:ctrlPr>
          </m:sSubSupPr>
          <m:e>
            <m:r>
              <w:rPr>
                <w:rFonts w:ascii="Cambria Math" w:hAnsi="Cambria Math"/>
              </w:rPr>
              <m:t>H</m:t>
            </m:r>
          </m:e>
          <m:sub>
            <m:r>
              <m:rPr>
                <m:sty m:val="p"/>
              </m:rPr>
              <w:rPr>
                <w:rFonts w:ascii="Cambria Math" w:hAnsi="Cambria Math"/>
              </w:rPr>
              <m:t>T</m:t>
            </m:r>
          </m:sub>
          <m:sup>
            <m:r>
              <m:rPr>
                <m:sty m:val="p"/>
              </m:rPr>
              <w:rPr>
                <w:rFonts w:ascii="Cambria Math" w:hAnsi="Cambria Math"/>
              </w:rPr>
              <m:t>M</m:t>
            </m:r>
          </m:sup>
        </m:sSubSup>
      </m:oMath>
      <w:r>
        <w:t xml:space="preserve"> and </w:t>
      </w:r>
      <m:oMath>
        <m:sSubSup>
          <m:sSubSupPr>
            <m:ctrlPr>
              <w:rPr>
                <w:rFonts w:ascii="Cambria Math" w:hAnsi="Cambria Math"/>
                <w:i/>
              </w:rPr>
            </m:ctrlPr>
          </m:sSubSupPr>
          <m:e>
            <m:r>
              <w:rPr>
                <w:rFonts w:ascii="Cambria Math" w:hAnsi="Cambria Math"/>
              </w:rPr>
              <m:t>H</m:t>
            </m:r>
          </m:e>
          <m:sub>
            <m:r>
              <m:rPr>
                <m:sty m:val="p"/>
              </m:rPr>
              <w:rPr>
                <w:rFonts w:ascii="Cambria Math" w:hAnsi="Cambria Math"/>
              </w:rPr>
              <m:t>T</m:t>
            </m:r>
          </m:sub>
          <m:sup>
            <m:r>
              <m:rPr>
                <m:sty m:val="p"/>
              </m:rPr>
              <w:rPr>
                <w:rFonts w:ascii="Cambria Math" w:hAnsi="Cambria Math"/>
              </w:rPr>
              <m:t>F</m:t>
            </m:r>
          </m:sup>
        </m:sSubSup>
      </m:oMath>
      <w:r>
        <w:t xml:space="preserve"> are the equivalent doses to the tissues or organs </w:t>
      </w:r>
      <w:r>
        <w:rPr>
          <w:i/>
        </w:rPr>
        <w:t>T</w:t>
      </w:r>
      <w:r>
        <w:t xml:space="preserve"> of the Reference Male and Female, respectively, and </w:t>
      </w:r>
      <w:proofErr w:type="spellStart"/>
      <w:r>
        <w:rPr>
          <w:i/>
        </w:rPr>
        <w:t>w</w:t>
      </w:r>
      <w:r>
        <w:rPr>
          <w:vertAlign w:val="subscript"/>
        </w:rPr>
        <w:t>T</w:t>
      </w:r>
      <w:proofErr w:type="spellEnd"/>
      <w:r>
        <w:t xml:space="preserve"> is the tissue weighting factor for target tissue </w:t>
      </w:r>
      <w:r>
        <w:rPr>
          <w:i/>
        </w:rPr>
        <w:t>T</w:t>
      </w:r>
      <w:r>
        <w:t xml:space="preserve">, with </w:t>
      </w:r>
      <w:proofErr w:type="spellStart"/>
      <w:r>
        <w:t>Σ</w:t>
      </w:r>
      <w:r>
        <w:rPr>
          <w:i/>
        </w:rPr>
        <w:t>w</w:t>
      </w:r>
      <w:r>
        <w:rPr>
          <w:vertAlign w:val="subscript"/>
        </w:rPr>
        <w:t>T</w:t>
      </w:r>
      <w:proofErr w:type="spellEnd"/>
      <w:r>
        <w:t xml:space="preserve"> = 1. The sum is performed over all organs and tissues of the human body considered to be sensitive to the induction of stochastic effects. Values of </w:t>
      </w:r>
      <w:proofErr w:type="spellStart"/>
      <w:r>
        <w:rPr>
          <w:i/>
        </w:rPr>
        <w:t>w</w:t>
      </w:r>
      <w:r>
        <w:rPr>
          <w:vertAlign w:val="subscript"/>
        </w:rPr>
        <w:t>T</w:t>
      </w:r>
      <w:proofErr w:type="spellEnd"/>
      <w:r>
        <w:t xml:space="preserve"> are given in </w:t>
      </w:r>
      <w:r>
        <w:fldChar w:fldCharType="begin"/>
      </w:r>
      <w:r>
        <w:instrText xml:space="preserve"> REF _Ref493152982 \h  \* MERGEFORMAT </w:instrText>
      </w:r>
      <w:r>
        <w:fldChar w:fldCharType="separate"/>
      </w:r>
      <w:r>
        <w:t>Table A</w:t>
      </w:r>
      <w:r>
        <w:rPr>
          <w:szCs w:val="24"/>
        </w:rPr>
        <w:t>.</w:t>
      </w:r>
      <w:r>
        <w:rPr>
          <w:noProof/>
          <w:szCs w:val="24"/>
        </w:rPr>
        <w:t>2</w:t>
      </w:r>
      <w:r>
        <w:fldChar w:fldCharType="end"/>
      </w:r>
      <w:r>
        <w:t xml:space="preserve"> </w:t>
      </w:r>
      <w:r>
        <w:fldChar w:fldCharType="begin">
          <w:fldData xml:space="preserve">PEVuZE5vdGU+PENpdGU+PEF1dGhvcj5JQ1JQPC9BdXRob3I+PFllYXI+MjAwNzwvWWVhcj48UmVj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</w:fldData>
        </w:fldChar>
      </w:r>
      <w:r>
        <w:instrText xml:space="preserve"> ADDIN EN.CITE </w:instrText>
      </w:r>
      <w:r>
        <w:fldChar w:fldCharType="begin">
          <w:fldData xml:space="preserve">PEVuZE5vdGU+PENpdGU+PEF1dGhvcj5JQ1JQPC9BdXRob3I+PFllYXI+MjAwNzwvWWVhcj48UmVj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</w:fldData>
        </w:fldChar>
      </w:r>
      <w:r>
        <w:instrText xml:space="preserve"> ADDIN EN.CITE.DATA </w:instrText>
      </w:r>
      <w:r>
        <w:fldChar w:fldCharType="end"/>
      </w:r>
      <w:r>
        <w:fldChar w:fldCharType="separate"/>
      </w:r>
      <w:r>
        <w:rPr>
          <w:noProof/>
        </w:rPr>
        <w:t>(ICRP, 2007b)</w:t>
      </w:r>
      <w:r>
        <w:fldChar w:fldCharType="end"/>
      </w:r>
      <w:r>
        <w:t xml:space="preserve">. Since </w:t>
      </w:r>
      <w:proofErr w:type="spellStart"/>
      <w:r>
        <w:rPr>
          <w:i/>
        </w:rPr>
        <w:t>w</w:t>
      </w:r>
      <w:r>
        <w:rPr>
          <w:vertAlign w:val="subscript"/>
        </w:rPr>
        <w:t>R</w:t>
      </w:r>
      <w:proofErr w:type="spellEnd"/>
      <w:r>
        <w:t xml:space="preserve"> and </w:t>
      </w:r>
      <w:proofErr w:type="spellStart"/>
      <w:r>
        <w:rPr>
          <w:i/>
        </w:rPr>
        <w:t>w</w:t>
      </w:r>
      <w:r>
        <w:rPr>
          <w:vertAlign w:val="subscript"/>
        </w:rPr>
        <w:t>T</w:t>
      </w:r>
      <w:proofErr w:type="spellEnd"/>
      <w:r>
        <w:t xml:space="preserve"> are dimensionless, the SI unit for effective dose is the same as for absorbed and equivalent dose, J kg</w:t>
      </w:r>
      <w:r>
        <w:rPr>
          <w:vertAlign w:val="superscript"/>
        </w:rPr>
        <w:t>−1</w:t>
      </w:r>
      <w:r>
        <w:t>, and its special name is sievert (Sv).</w:t>
      </w:r>
    </w:p>
    <w:p w14:paraId="0EA69D72" w14:textId="77777777" w:rsidR="00E72CA9" w:rsidRDefault="00D516E3">
      <w:pPr>
        <w:pStyle w:val="ICRPannexparagraph"/>
        <w:spacing w:after="240"/>
        <w:ind w:left="0"/>
      </w:pPr>
      <w:bookmarkStart w:id="186" w:name="_Hlk147485548"/>
      <w:r>
        <w:t>Eq. A.3 is numerically the same as:</w:t>
      </w:r>
    </w:p>
    <w:p w14:paraId="28F2D3EA" w14:textId="77777777" w:rsidR="00E72CA9" w:rsidRDefault="00D516E3">
      <w:pPr>
        <w:pStyle w:val="ICRPannexparagraph"/>
        <w:numPr>
          <w:ilvl w:val="0"/>
          <w:numId w:val="0"/>
        </w:numPr>
        <w:jc w:val="right"/>
      </w:pPr>
      <m:oMath>
        <m:r>
          <w:rPr>
            <w:rFonts w:ascii="Cambria Math" w:hAnsi="Cambria Math"/>
          </w:rPr>
          <m:t>E=</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 xml:space="preserve">M </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F</m:t>
                </m:r>
              </m:sub>
            </m:sSub>
          </m:num>
          <m:den>
            <m:r>
              <w:rPr>
                <w:rFonts w:ascii="Cambria Math" w:hAnsi="Cambria Math"/>
              </w:rPr>
              <m:t>2</m:t>
            </m:r>
          </m:den>
        </m:f>
      </m:oMath>
      <w:r>
        <w:tab/>
      </w:r>
      <w:r>
        <w:tab/>
      </w:r>
      <w:r>
        <w:tab/>
      </w:r>
      <w:r>
        <w:tab/>
      </w:r>
      <w:r>
        <w:tab/>
      </w:r>
      <w:r>
        <w:tab/>
        <w:t>(A.4)</w:t>
      </w:r>
    </w:p>
    <w:p w14:paraId="06B88603" w14:textId="77777777" w:rsidR="00E72CA9" w:rsidRDefault="00E72CA9">
      <w:pPr>
        <w:pStyle w:val="ICRPannexparagraph"/>
        <w:numPr>
          <w:ilvl w:val="0"/>
          <w:numId w:val="0"/>
        </w:numPr>
      </w:pPr>
    </w:p>
    <w:p w14:paraId="6FF9D7EF" w14:textId="77777777" w:rsidR="00E72CA9" w:rsidRDefault="00D516E3">
      <w:pPr>
        <w:pStyle w:val="ICRPannexparagraph"/>
        <w:numPr>
          <w:ilvl w:val="0"/>
          <w:numId w:val="0"/>
        </w:numPr>
        <w:rPr>
          <w:szCs w:val="24"/>
          <w:lang w:eastAsia="en-GB"/>
        </w:rPr>
      </w:pPr>
      <w:r>
        <w:t xml:space="preserve">where </w:t>
      </w:r>
      <w:r>
        <w:rPr>
          <w:i/>
        </w:rPr>
        <w:t>E</w:t>
      </w:r>
      <w:r>
        <w:rPr>
          <w:vertAlign w:val="subscript"/>
        </w:rPr>
        <w:t xml:space="preserve">M=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M</m:t>
            </m:r>
          </m:sup>
        </m:sSubSup>
      </m:oMath>
      <w:r>
        <w:t xml:space="preserve">and </w:t>
      </w:r>
      <w:r>
        <w:rPr>
          <w:i/>
        </w:rPr>
        <w:t>E</w:t>
      </w:r>
      <w:r>
        <w:rPr>
          <w:vertAlign w:val="subscript"/>
        </w:rPr>
        <w:t>F</w:t>
      </w:r>
      <w:r>
        <w:t xml:space="preserve">=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F</m:t>
            </m:r>
          </m:sup>
        </m:sSubSup>
      </m:oMath>
      <w:r>
        <w:t xml:space="preserve">, respectively. In this document, these contributions are annotated as </w:t>
      </w:r>
      <w:r>
        <w:rPr>
          <w:i/>
        </w:rPr>
        <w:t>E</w:t>
      </w:r>
      <w:r>
        <w:rPr>
          <w:vertAlign w:val="subscript"/>
        </w:rPr>
        <w:t>103,AM</w:t>
      </w:r>
      <w:r>
        <w:t xml:space="preserve"> and </w:t>
      </w:r>
      <w:r>
        <w:rPr>
          <w:i/>
        </w:rPr>
        <w:t>E</w:t>
      </w:r>
      <w:r>
        <w:rPr>
          <w:vertAlign w:val="subscript"/>
        </w:rPr>
        <w:t>103,AF</w:t>
      </w:r>
      <w:r>
        <w:t xml:space="preserve">, for the adult male and female phantoms, </w:t>
      </w:r>
      <w:r>
        <w:rPr>
          <w:i/>
        </w:rPr>
        <w:t>E</w:t>
      </w:r>
      <w:r>
        <w:rPr>
          <w:vertAlign w:val="subscript"/>
        </w:rPr>
        <w:t>103,15M</w:t>
      </w:r>
      <w:r>
        <w:t xml:space="preserve">, </w:t>
      </w:r>
      <w:r>
        <w:rPr>
          <w:i/>
        </w:rPr>
        <w:t>E</w:t>
      </w:r>
      <w:r>
        <w:rPr>
          <w:vertAlign w:val="subscript"/>
        </w:rPr>
        <w:t xml:space="preserve">103,15F, </w:t>
      </w:r>
      <w:r>
        <w:t xml:space="preserve">for the 15-year-old male and female, </w:t>
      </w:r>
      <w:r>
        <w:rPr>
          <w:i/>
        </w:rPr>
        <w:t>E</w:t>
      </w:r>
      <w:r>
        <w:rPr>
          <w:vertAlign w:val="subscript"/>
        </w:rPr>
        <w:t>103,10M</w:t>
      </w:r>
      <w:r>
        <w:t xml:space="preserve">, </w:t>
      </w:r>
      <w:r>
        <w:rPr>
          <w:i/>
        </w:rPr>
        <w:t>E</w:t>
      </w:r>
      <w:r>
        <w:rPr>
          <w:vertAlign w:val="subscript"/>
        </w:rPr>
        <w:t>103,10F</w:t>
      </w:r>
      <w:r>
        <w:t xml:space="preserve"> for the 10-year-old etc. and are given at the tables of the electronic supplement. </w:t>
      </w:r>
      <w:bookmarkEnd w:id="186"/>
      <w:r>
        <w:rPr>
          <w:szCs w:val="24"/>
          <w:lang w:eastAsia="en-GB"/>
        </w:rPr>
        <w:t>The effective dose can be obtained by taking the average of the two.</w:t>
      </w:r>
    </w:p>
    <w:p w14:paraId="5EDDEA87" w14:textId="77777777" w:rsidR="00E72CA9" w:rsidRDefault="00D516E3">
      <w:pPr>
        <w:pStyle w:val="ICRPannexparagraph"/>
        <w:ind w:left="0"/>
      </w:pPr>
      <w:r>
        <w:t>Effective dose (</w:t>
      </w:r>
      <w:r>
        <w:rPr>
          <w:i/>
        </w:rPr>
        <w:t>E</w:t>
      </w:r>
      <w:r>
        <w:t xml:space="preserve">) was originally introduced for the control of occupational exposures to external and internal sources of radiation. While the concept has remained essentially unchanged through </w:t>
      </w:r>
      <w:r>
        <w:rPr>
          <w:i/>
          <w:iCs/>
        </w:rPr>
        <w:t>Publication 60</w:t>
      </w:r>
      <w:r>
        <w:t xml:space="preserve"> </w:t>
      </w:r>
      <w:r>
        <w:fldChar w:fldCharType="begin"/>
      </w:r>
      <w:r>
        <w:instrText xml:space="preserve"> ADDIN EN.CITE &lt;EndNote&gt;&lt;Cite&gt;&lt;Author&gt;ICRP&lt;/Author&gt;&lt;Year&gt;1991&lt;/Year&gt;&lt;RecNum&gt;3289&lt;/RecNum&gt;&lt;DisplayText&gt;(ICRP, 1991b)&lt;/DisplayText&gt;&lt;record&gt;&lt;rec-number&gt;3289&lt;/rec-number&gt;&lt;foreign-keys&gt;&lt;key app="EN" db-id="rss5s0wzrpx9pwe5a0h5a9wkx9sf2zexde9d" timestamp="0"&gt;3289&lt;/key&gt;&lt;/foreign-keys&gt;&lt;ref-type name="Report"&gt;27&lt;/ref-type&gt;&lt;contributors&gt;&lt;authors&gt;&lt;author&gt;ICRP&lt;/author&gt;&lt;/authors&gt;&lt;/contributors&gt;&lt;titles&gt;&lt;title&gt;1990 Recommendations of the International Commission on Radiological Protection&lt;/title&gt;&lt;secondary-title&gt;ICRP Publication 60&lt;/secondary-title&gt;&lt;/titles&gt;&lt;periodical&gt;&lt;full-title&gt;ICRP Publication 60&lt;/full-title&gt;&lt;/periodical&gt;&lt;dates&gt;&lt;year&gt;1991&lt;/year&gt;&lt;/dates&gt;&lt;pub-location&gt;Oxford, UK&lt;/pub-location&gt;&lt;publisher&gt;Pergamon Press&lt;/publisher&gt;&lt;orig-pub&gt;Ann. ICRP 21(1-3)&lt;/orig-pub&gt;&lt;isbn&gt;ICRP Publication 60&lt;/isbn&gt;&lt;work-type&gt;ICRP Publication&lt;/work-type&gt;&lt;urls&gt;&lt;/urls&gt;&lt;/record&gt;&lt;/Cite&gt;&lt;/EndNote&gt;</w:instrText>
      </w:r>
      <w:r>
        <w:fldChar w:fldCharType="separate"/>
      </w:r>
      <w:r>
        <w:rPr>
          <w:noProof/>
        </w:rPr>
        <w:t>(ICRP, 1991)</w:t>
      </w:r>
      <w:r>
        <w:fldChar w:fldCharType="end"/>
      </w:r>
      <w:r>
        <w:t xml:space="preserve"> to </w:t>
      </w:r>
      <w:r>
        <w:rPr>
          <w:i/>
          <w:iCs/>
        </w:rPr>
        <w:t>Publication 103</w:t>
      </w:r>
      <w:r>
        <w:t xml:space="preserve"> </w:t>
      </w:r>
      <w:r>
        <w:fldChar w:fldCharType="begin"/>
      </w:r>
      <w:r>
        <w:instrText xml:space="preserve"> ADDIN EN.CITE &lt;EndNote&gt;&lt;Cite&gt;&lt;Author&gt;ICRP&lt;/Author&gt;&lt;Year&gt;2007&lt;/Year&gt;&lt;RecNum&gt;1551&lt;/RecNum&gt;&lt;DisplayText&gt;(ICRP, 2007b)&lt;/DisplayText&gt;&lt;record&gt;&lt;rec-number&gt;1551&lt;/rec-number&gt;&lt;foreign-keys&gt;&lt;key app="EN" db-id="tewdatv2kswps0ep9wgxe0tjvatvprte2wrd" timestamp="1681399860"&gt;1551&lt;/key&gt;&lt;/foreign-keys&gt;&lt;ref-type name="Report"&gt;27&lt;/ref-type&gt;&lt;contributors&gt;&lt;authors&gt;&lt;author&gt;ICRP,&lt;/author&gt;&lt;/authors&gt;&lt;secondary-authors&gt;&lt;author&gt;International Commission on Radiological Protection&lt;/author&gt;&lt;/secondary-authors&gt;&lt;/contributors&gt;&lt;titles&gt;&lt;title&gt;The 2007 Recommendations of the International Commission on Radiological Protection&lt;/title&gt;&lt;secondary-title&gt;ICRP Publication 103&lt;/secondary-title&gt;&lt;/titles&gt;&lt;keywords&gt;&lt;keyword&gt;Justification&lt;/keyword&gt;&lt;keyword&gt;Optimisation&lt;/keyword&gt;&lt;keyword&gt;Dose limits&lt;/keyword&gt;&lt;keyword&gt;Constraints&lt;/keyword&gt;&lt;keyword&gt;Reference Levels&lt;/keyword&gt;&lt;/keywords&gt;&lt;dates&gt;&lt;year&gt;2007&lt;/year&gt;&lt;/dates&gt;&lt;pub-location&gt;Oxford, UK&lt;/pub-location&gt;&lt;publisher&gt;Elsevier&lt;/publisher&gt;&lt;orig-pub&gt;Ann. ICRP 37(2-4)&lt;/orig-pub&gt;&lt;isbn&gt;ICRP Publication 103&lt;/isbn&gt;&lt;work-type&gt;ICRP Publication&lt;/work-type&gt;&lt;urls&gt;&lt;/urls&gt;&lt;/record&gt;&lt;/Cite&gt;&lt;/EndNote&gt;</w:instrText>
      </w:r>
      <w:r>
        <w:fldChar w:fldCharType="separate"/>
      </w:r>
      <w:r>
        <w:rPr>
          <w:noProof/>
        </w:rPr>
        <w:t>(ICRP, 2007)</w:t>
      </w:r>
      <w:r>
        <w:fldChar w:fldCharType="end"/>
      </w:r>
      <w:r>
        <w:t xml:space="preserve">, its use has been extended to members of the public of all ages, including in utero exposures of the foetus </w:t>
      </w:r>
      <w:r>
        <w:fldChar w:fldCharType="begin">
          <w:fldData xml:space="preserve">PEVuZE5vdGU+PENpdGU+PEF1dGhvcj5JQ1JQPC9BdXRob3I+PFllYXI+MjAwMTwvWWVhcj48UmVj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</w:fldData>
        </w:fldChar>
      </w:r>
      <w:r>
        <w:instrText xml:space="preserve"> ADDIN EN.CITE </w:instrText>
      </w:r>
      <w:r>
        <w:fldChar w:fldCharType="begin">
          <w:fldData xml:space="preserve">PEVuZE5vdGU+PENpdGU+PEF1dGhvcj5JQ1JQPC9BdXRob3I+PFllYXI+MjAwMTwvWWVhcj48UmVj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</w:fldData>
        </w:fldChar>
      </w:r>
      <w:r>
        <w:instrText xml:space="preserve"> ADDIN EN.CITE.DATA </w:instrText>
      </w:r>
      <w:r>
        <w:fldChar w:fldCharType="end"/>
      </w:r>
      <w:r>
        <w:fldChar w:fldCharType="separate"/>
      </w:r>
      <w:r>
        <w:rPr>
          <w:noProof/>
        </w:rPr>
        <w:t>(ICRP, 2001, 2004, 2006)</w:t>
      </w:r>
      <w:r>
        <w:fldChar w:fldCharType="end"/>
      </w:r>
      <w:r>
        <w:t>. ICRP provides effective dose coefficients for situations of external and internal exposures of workers and members of the public, and for radiopharmaceutical administrations to patients, as reference values for use in prospective and retrospective dose assessments.</w:t>
      </w:r>
    </w:p>
    <w:p w14:paraId="027B1CE1" w14:textId="77777777" w:rsidR="00E72CA9" w:rsidRDefault="00E72CA9">
      <w:pPr>
        <w:pStyle w:val="Annalstext"/>
        <w:tabs>
          <w:tab w:val="clear" w:pos="502"/>
          <w:tab w:val="left" w:pos="540"/>
          <w:tab w:val="left" w:pos="720"/>
        </w:tabs>
        <w:ind w:left="0" w:firstLineChars="50" w:firstLine="120"/>
      </w:pPr>
    </w:p>
    <w:p w14:paraId="480FA36D" w14:textId="77777777" w:rsidR="00E72CA9" w:rsidRDefault="00D516E3">
      <w:pPr>
        <w:pStyle w:val="af0"/>
        <w:tabs>
          <w:tab w:val="left" w:pos="540"/>
          <w:tab w:val="left" w:pos="720"/>
          <w:tab w:val="left" w:pos="852"/>
        </w:tabs>
        <w:adjustRightInd/>
        <w:spacing w:before="0" w:after="0" w:line="240" w:lineRule="auto"/>
        <w:jc w:val="both"/>
        <w:rPr>
          <w:b w:val="0"/>
          <w:szCs w:val="24"/>
        </w:rPr>
      </w:pPr>
      <w:bookmarkStart w:id="187" w:name="_Ref493152982"/>
      <w:bookmarkStart w:id="188" w:name="_Ref493513516"/>
      <w:r>
        <w:rPr>
          <w:b w:val="0"/>
          <w:szCs w:val="24"/>
        </w:rPr>
        <w:t>Table A.</w:t>
      </w:r>
      <w:r>
        <w:rPr>
          <w:b w:val="0"/>
          <w:szCs w:val="24"/>
        </w:rPr>
        <w:fldChar w:fldCharType="begin"/>
      </w:r>
      <w:r>
        <w:rPr>
          <w:b w:val="0"/>
          <w:szCs w:val="24"/>
        </w:rPr>
        <w:instrText xml:space="preserve"> SEQ Table_2. \* ARABIC </w:instrText>
      </w:r>
      <w:r>
        <w:rPr>
          <w:b w:val="0"/>
          <w:szCs w:val="24"/>
        </w:rPr>
        <w:fldChar w:fldCharType="separate"/>
      </w:r>
      <w:r>
        <w:rPr>
          <w:b w:val="0"/>
          <w:noProof/>
          <w:szCs w:val="24"/>
        </w:rPr>
        <w:t>2</w:t>
      </w:r>
      <w:r>
        <w:rPr>
          <w:b w:val="0"/>
          <w:szCs w:val="24"/>
        </w:rPr>
        <w:fldChar w:fldCharType="end"/>
      </w:r>
      <w:bookmarkEnd w:id="187"/>
      <w:r>
        <w:rPr>
          <w:b w:val="0"/>
          <w:szCs w:val="24"/>
        </w:rPr>
        <w:t xml:space="preserve">. ICRP tissue weighting factors </w:t>
      </w:r>
      <w:r>
        <w:rPr>
          <w:b w:val="0"/>
          <w:szCs w:val="24"/>
        </w:rPr>
        <w:fldChar w:fldCharType="begin">
          <w:fldData xml:space="preserve">PEVuZE5vdGU+PENpdGU+PEF1dGhvcj5JQ1JQPC9BdXRob3I+PFllYXI+MjAwNzwvWWVhcj48UmVj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</w:fldData>
        </w:fldChar>
      </w:r>
      <w:r>
        <w:rPr>
          <w:b w:val="0"/>
          <w:szCs w:val="24"/>
        </w:rPr>
        <w:instrText xml:space="preserve"> ADDIN EN.CITE </w:instrText>
      </w:r>
      <w:r>
        <w:rPr>
          <w:b w:val="0"/>
          <w:szCs w:val="24"/>
        </w:rPr>
        <w:fldChar w:fldCharType="begin">
          <w:fldData xml:space="preserve">PEVuZE5vdGU+PENpdGU+PEF1dGhvcj5JQ1JQPC9BdXRob3I+PFllYXI+MjAwNzwvWWVhcj48UmVj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</w:fldData>
        </w:fldChar>
      </w:r>
      <w:r>
        <w:rPr>
          <w:b w:val="0"/>
          <w:szCs w:val="24"/>
        </w:rPr>
        <w:instrText xml:space="preserve"> ADDIN EN.CITE.DATA </w:instrText>
      </w:r>
      <w:r>
        <w:rPr>
          <w:b w:val="0"/>
          <w:szCs w:val="24"/>
        </w:rPr>
      </w:r>
      <w:r>
        <w:rPr>
          <w:b w:val="0"/>
          <w:szCs w:val="24"/>
        </w:rPr>
        <w:fldChar w:fldCharType="end"/>
      </w:r>
      <w:r>
        <w:rPr>
          <w:b w:val="0"/>
          <w:szCs w:val="24"/>
        </w:rPr>
      </w:r>
      <w:r>
        <w:rPr>
          <w:b w:val="0"/>
          <w:szCs w:val="24"/>
        </w:rPr>
        <w:fldChar w:fldCharType="separate"/>
      </w:r>
      <w:r>
        <w:rPr>
          <w:b w:val="0"/>
          <w:noProof/>
          <w:szCs w:val="24"/>
        </w:rPr>
        <w:t>(ICRP, 2007)</w:t>
      </w:r>
      <w:r>
        <w:rPr>
          <w:b w:val="0"/>
          <w:szCs w:val="24"/>
        </w:rPr>
        <w:fldChar w:fldCharType="end"/>
      </w:r>
      <w:r>
        <w:rPr>
          <w:b w:val="0"/>
          <w:szCs w:val="24"/>
        </w:rPr>
        <w:t>.</w:t>
      </w:r>
      <w:bookmarkEnd w:id="188"/>
    </w:p>
    <w:tbl>
      <w:tblPr>
        <w:tblW w:w="0" w:type="auto"/>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5529"/>
        <w:gridCol w:w="1417"/>
        <w:gridCol w:w="1418"/>
      </w:tblGrid>
      <w:tr w:rsidR="00E72CA9" w14:paraId="5C20012E" w14:textId="77777777">
        <w:trPr>
          <w:trHeight w:val="227"/>
        </w:trPr>
        <w:tc>
          <w:tcPr>
            <w:tcW w:w="5529" w:type="dxa"/>
            <w:tcBorders>
              <w:top w:val="single" w:sz="4" w:space="0" w:color="auto"/>
              <w:left w:val="nil"/>
              <w:bottom w:val="single" w:sz="4" w:space="0" w:color="auto"/>
            </w:tcBorders>
            <w:vAlign w:val="bottom"/>
          </w:tcPr>
          <w:p w14:paraId="1AFD7594" w14:textId="77777777" w:rsidR="00E72CA9" w:rsidRDefault="00D516E3">
            <w:pPr>
              <w:pStyle w:val="Table"/>
              <w:tabs>
                <w:tab w:val="left" w:pos="540"/>
                <w:tab w:val="left" w:pos="720"/>
                <w:tab w:val="left" w:pos="852"/>
              </w:tabs>
              <w:jc w:val="both"/>
              <w:rPr>
                <w:sz w:val="24"/>
                <w:szCs w:val="24"/>
              </w:rPr>
            </w:pPr>
            <w:r>
              <w:rPr>
                <w:sz w:val="24"/>
                <w:szCs w:val="24"/>
              </w:rPr>
              <w:t>Tissue</w:t>
            </w:r>
          </w:p>
        </w:tc>
        <w:tc>
          <w:tcPr>
            <w:tcW w:w="1417" w:type="dxa"/>
            <w:tcBorders>
              <w:top w:val="single" w:sz="4" w:space="0" w:color="auto"/>
              <w:bottom w:val="single" w:sz="4" w:space="0" w:color="auto"/>
            </w:tcBorders>
            <w:vAlign w:val="bottom"/>
          </w:tcPr>
          <w:p w14:paraId="0894653E" w14:textId="77777777" w:rsidR="00E72CA9" w:rsidRDefault="00D516E3">
            <w:pPr>
              <w:pStyle w:val="Table"/>
              <w:tabs>
                <w:tab w:val="left" w:pos="540"/>
                <w:tab w:val="left" w:pos="720"/>
                <w:tab w:val="left" w:pos="852"/>
              </w:tabs>
              <w:ind w:firstLineChars="50" w:firstLine="120"/>
              <w:jc w:val="both"/>
              <w:rPr>
                <w:sz w:val="24"/>
                <w:szCs w:val="24"/>
                <w:vertAlign w:val="subscript"/>
              </w:rPr>
            </w:pPr>
            <w:proofErr w:type="spellStart"/>
            <w:r>
              <w:rPr>
                <w:i/>
                <w:sz w:val="24"/>
                <w:szCs w:val="24"/>
              </w:rPr>
              <w:t>w</w:t>
            </w:r>
            <w:r>
              <w:rPr>
                <w:sz w:val="24"/>
                <w:szCs w:val="24"/>
                <w:vertAlign w:val="subscript"/>
              </w:rPr>
              <w:t>T</w:t>
            </w:r>
            <w:proofErr w:type="spellEnd"/>
          </w:p>
        </w:tc>
        <w:tc>
          <w:tcPr>
            <w:tcW w:w="1418" w:type="dxa"/>
            <w:tcBorders>
              <w:top w:val="single" w:sz="4" w:space="0" w:color="auto"/>
              <w:bottom w:val="single" w:sz="4" w:space="0" w:color="auto"/>
              <w:right w:val="nil"/>
            </w:tcBorders>
            <w:vAlign w:val="bottom"/>
          </w:tcPr>
          <w:p w14:paraId="3FFCB106" w14:textId="77777777" w:rsidR="00E72CA9" w:rsidRDefault="00D516E3">
            <w:pPr>
              <w:pStyle w:val="Table"/>
              <w:tabs>
                <w:tab w:val="left" w:pos="540"/>
                <w:tab w:val="left" w:pos="720"/>
                <w:tab w:val="left" w:pos="852"/>
              </w:tabs>
              <w:ind w:firstLineChars="50" w:firstLine="120"/>
              <w:jc w:val="both"/>
              <w:rPr>
                <w:sz w:val="24"/>
                <w:szCs w:val="24"/>
                <w:vertAlign w:val="subscript"/>
              </w:rPr>
            </w:pPr>
            <w:r>
              <w:rPr>
                <w:sz w:val="24"/>
                <w:szCs w:val="24"/>
              </w:rPr>
              <w:t xml:space="preserve">∑ </w:t>
            </w:r>
            <w:proofErr w:type="spellStart"/>
            <w:r>
              <w:rPr>
                <w:i/>
                <w:sz w:val="24"/>
                <w:szCs w:val="24"/>
              </w:rPr>
              <w:t>w</w:t>
            </w:r>
            <w:r>
              <w:rPr>
                <w:sz w:val="24"/>
                <w:szCs w:val="24"/>
                <w:vertAlign w:val="subscript"/>
              </w:rPr>
              <w:t>T</w:t>
            </w:r>
            <w:proofErr w:type="spellEnd"/>
          </w:p>
        </w:tc>
      </w:tr>
      <w:tr w:rsidR="00E72CA9" w14:paraId="3F97067B" w14:textId="77777777">
        <w:tc>
          <w:tcPr>
            <w:tcW w:w="5529" w:type="dxa"/>
            <w:tcBorders>
              <w:top w:val="single" w:sz="4" w:space="0" w:color="auto"/>
              <w:left w:val="nil"/>
              <w:bottom w:val="nil"/>
            </w:tcBorders>
            <w:vAlign w:val="bottom"/>
          </w:tcPr>
          <w:p w14:paraId="52DA1EEC" w14:textId="77777777" w:rsidR="00E72CA9" w:rsidRDefault="00D516E3">
            <w:pPr>
              <w:pStyle w:val="Table"/>
              <w:tabs>
                <w:tab w:val="left" w:pos="540"/>
                <w:tab w:val="left" w:pos="720"/>
                <w:tab w:val="left" w:pos="852"/>
              </w:tabs>
              <w:jc w:val="both"/>
              <w:rPr>
                <w:sz w:val="24"/>
                <w:szCs w:val="24"/>
              </w:rPr>
            </w:pPr>
            <w:r>
              <w:rPr>
                <w:sz w:val="24"/>
                <w:szCs w:val="24"/>
              </w:rPr>
              <w:t>Bone-marrow, breast, colon, lung, stomach, remainder tissues (13*)</w:t>
            </w:r>
          </w:p>
        </w:tc>
        <w:tc>
          <w:tcPr>
            <w:tcW w:w="1417" w:type="dxa"/>
            <w:tcBorders>
              <w:top w:val="single" w:sz="4" w:space="0" w:color="auto"/>
              <w:bottom w:val="nil"/>
            </w:tcBorders>
            <w:vAlign w:val="bottom"/>
          </w:tcPr>
          <w:p w14:paraId="14E11C14" w14:textId="77777777" w:rsidR="00E72CA9" w:rsidRDefault="00D516E3">
            <w:pPr>
              <w:pStyle w:val="Table"/>
              <w:tabs>
                <w:tab w:val="left" w:pos="540"/>
                <w:tab w:val="left" w:pos="720"/>
                <w:tab w:val="left" w:pos="852"/>
              </w:tabs>
              <w:ind w:firstLineChars="50" w:firstLine="120"/>
              <w:jc w:val="both"/>
              <w:rPr>
                <w:sz w:val="24"/>
                <w:szCs w:val="24"/>
              </w:rPr>
            </w:pPr>
            <w:r>
              <w:rPr>
                <w:sz w:val="24"/>
                <w:szCs w:val="24"/>
              </w:rPr>
              <w:t>0.12</w:t>
            </w:r>
          </w:p>
        </w:tc>
        <w:tc>
          <w:tcPr>
            <w:tcW w:w="1418" w:type="dxa"/>
            <w:tcBorders>
              <w:top w:val="single" w:sz="4" w:space="0" w:color="auto"/>
              <w:bottom w:val="nil"/>
              <w:right w:val="nil"/>
            </w:tcBorders>
            <w:vAlign w:val="bottom"/>
          </w:tcPr>
          <w:p w14:paraId="1AFEE4AA" w14:textId="77777777" w:rsidR="00E72CA9" w:rsidRDefault="00D516E3">
            <w:pPr>
              <w:pStyle w:val="Table"/>
              <w:tabs>
                <w:tab w:val="left" w:pos="540"/>
                <w:tab w:val="left" w:pos="720"/>
                <w:tab w:val="left" w:pos="852"/>
              </w:tabs>
              <w:ind w:firstLineChars="50" w:firstLine="120"/>
              <w:jc w:val="both"/>
              <w:rPr>
                <w:sz w:val="24"/>
                <w:szCs w:val="24"/>
              </w:rPr>
            </w:pPr>
            <w:r>
              <w:rPr>
                <w:sz w:val="24"/>
                <w:szCs w:val="24"/>
              </w:rPr>
              <w:t>0.72</w:t>
            </w:r>
          </w:p>
        </w:tc>
      </w:tr>
      <w:tr w:rsidR="00E72CA9" w14:paraId="019658AA" w14:textId="77777777">
        <w:tc>
          <w:tcPr>
            <w:tcW w:w="5529" w:type="dxa"/>
            <w:tcBorders>
              <w:top w:val="nil"/>
              <w:left w:val="nil"/>
            </w:tcBorders>
            <w:vAlign w:val="bottom"/>
          </w:tcPr>
          <w:p w14:paraId="1FE0636B" w14:textId="77777777" w:rsidR="00E72CA9" w:rsidRDefault="00D516E3">
            <w:pPr>
              <w:pStyle w:val="Table"/>
              <w:tabs>
                <w:tab w:val="left" w:pos="540"/>
                <w:tab w:val="left" w:pos="720"/>
                <w:tab w:val="left" w:pos="852"/>
              </w:tabs>
              <w:jc w:val="both"/>
              <w:rPr>
                <w:sz w:val="24"/>
                <w:szCs w:val="24"/>
              </w:rPr>
            </w:pPr>
            <w:r>
              <w:rPr>
                <w:sz w:val="24"/>
                <w:szCs w:val="24"/>
              </w:rPr>
              <w:t>Gonads</w:t>
            </w:r>
          </w:p>
        </w:tc>
        <w:tc>
          <w:tcPr>
            <w:tcW w:w="1417" w:type="dxa"/>
            <w:tcBorders>
              <w:top w:val="nil"/>
            </w:tcBorders>
            <w:vAlign w:val="bottom"/>
          </w:tcPr>
          <w:p w14:paraId="7E52C553" w14:textId="77777777" w:rsidR="00E72CA9" w:rsidRDefault="00D516E3">
            <w:pPr>
              <w:pStyle w:val="Table"/>
              <w:tabs>
                <w:tab w:val="left" w:pos="540"/>
                <w:tab w:val="left" w:pos="720"/>
                <w:tab w:val="left" w:pos="852"/>
              </w:tabs>
              <w:ind w:firstLineChars="50" w:firstLine="120"/>
              <w:jc w:val="both"/>
              <w:rPr>
                <w:sz w:val="24"/>
                <w:szCs w:val="24"/>
              </w:rPr>
            </w:pPr>
            <w:r>
              <w:rPr>
                <w:sz w:val="24"/>
                <w:szCs w:val="24"/>
              </w:rPr>
              <w:t>0.08</w:t>
            </w:r>
          </w:p>
        </w:tc>
        <w:tc>
          <w:tcPr>
            <w:tcW w:w="1418" w:type="dxa"/>
            <w:tcBorders>
              <w:top w:val="nil"/>
              <w:right w:val="nil"/>
            </w:tcBorders>
            <w:vAlign w:val="bottom"/>
          </w:tcPr>
          <w:p w14:paraId="48690FF7" w14:textId="77777777" w:rsidR="00E72CA9" w:rsidRDefault="00D516E3">
            <w:pPr>
              <w:pStyle w:val="Table"/>
              <w:tabs>
                <w:tab w:val="left" w:pos="540"/>
                <w:tab w:val="left" w:pos="720"/>
                <w:tab w:val="left" w:pos="852"/>
              </w:tabs>
              <w:ind w:firstLineChars="50" w:firstLine="120"/>
              <w:jc w:val="both"/>
              <w:rPr>
                <w:sz w:val="24"/>
                <w:szCs w:val="24"/>
              </w:rPr>
            </w:pPr>
            <w:r>
              <w:rPr>
                <w:sz w:val="24"/>
                <w:szCs w:val="24"/>
              </w:rPr>
              <w:t>0.08</w:t>
            </w:r>
          </w:p>
        </w:tc>
      </w:tr>
      <w:tr w:rsidR="00E72CA9" w14:paraId="3F4F3BB3" w14:textId="77777777">
        <w:tc>
          <w:tcPr>
            <w:tcW w:w="5529" w:type="dxa"/>
            <w:tcBorders>
              <w:left w:val="nil"/>
            </w:tcBorders>
            <w:vAlign w:val="bottom"/>
          </w:tcPr>
          <w:p w14:paraId="7FD434BD" w14:textId="77777777" w:rsidR="00E72CA9" w:rsidRDefault="00D516E3">
            <w:pPr>
              <w:pStyle w:val="Table"/>
              <w:tabs>
                <w:tab w:val="left" w:pos="540"/>
                <w:tab w:val="left" w:pos="720"/>
                <w:tab w:val="left" w:pos="852"/>
              </w:tabs>
              <w:jc w:val="both"/>
              <w:rPr>
                <w:sz w:val="24"/>
                <w:szCs w:val="24"/>
              </w:rPr>
            </w:pPr>
            <w:r>
              <w:rPr>
                <w:sz w:val="24"/>
                <w:szCs w:val="24"/>
              </w:rPr>
              <w:t>Urinary bladder, oesophagus, liver, thyroid</w:t>
            </w:r>
          </w:p>
        </w:tc>
        <w:tc>
          <w:tcPr>
            <w:tcW w:w="1417" w:type="dxa"/>
            <w:vAlign w:val="bottom"/>
          </w:tcPr>
          <w:p w14:paraId="0AF845B4" w14:textId="77777777" w:rsidR="00E72CA9" w:rsidRDefault="00D516E3">
            <w:pPr>
              <w:pStyle w:val="Table"/>
              <w:tabs>
                <w:tab w:val="left" w:pos="540"/>
                <w:tab w:val="left" w:pos="720"/>
                <w:tab w:val="left" w:pos="852"/>
              </w:tabs>
              <w:ind w:firstLineChars="50" w:firstLine="120"/>
              <w:jc w:val="both"/>
              <w:rPr>
                <w:sz w:val="24"/>
                <w:szCs w:val="24"/>
              </w:rPr>
            </w:pPr>
            <w:r>
              <w:rPr>
                <w:sz w:val="24"/>
                <w:szCs w:val="24"/>
              </w:rPr>
              <w:t>0.04</w:t>
            </w:r>
          </w:p>
        </w:tc>
        <w:tc>
          <w:tcPr>
            <w:tcW w:w="1418" w:type="dxa"/>
            <w:tcBorders>
              <w:right w:val="nil"/>
            </w:tcBorders>
            <w:vAlign w:val="bottom"/>
          </w:tcPr>
          <w:p w14:paraId="7196BFF6" w14:textId="77777777" w:rsidR="00E72CA9" w:rsidRDefault="00D516E3">
            <w:pPr>
              <w:pStyle w:val="Table"/>
              <w:tabs>
                <w:tab w:val="left" w:pos="540"/>
                <w:tab w:val="left" w:pos="720"/>
                <w:tab w:val="left" w:pos="852"/>
              </w:tabs>
              <w:ind w:firstLineChars="50" w:firstLine="120"/>
              <w:jc w:val="both"/>
              <w:rPr>
                <w:sz w:val="24"/>
                <w:szCs w:val="24"/>
              </w:rPr>
            </w:pPr>
            <w:r>
              <w:rPr>
                <w:sz w:val="24"/>
                <w:szCs w:val="24"/>
              </w:rPr>
              <w:t>0.16</w:t>
            </w:r>
          </w:p>
        </w:tc>
      </w:tr>
      <w:tr w:rsidR="00E72CA9" w14:paraId="1604B551" w14:textId="77777777">
        <w:tc>
          <w:tcPr>
            <w:tcW w:w="5529" w:type="dxa"/>
            <w:tcBorders>
              <w:left w:val="nil"/>
              <w:bottom w:val="single" w:sz="4" w:space="0" w:color="auto"/>
            </w:tcBorders>
            <w:vAlign w:val="bottom"/>
          </w:tcPr>
          <w:p w14:paraId="5DB21B44" w14:textId="77777777" w:rsidR="00E72CA9" w:rsidRDefault="00D516E3">
            <w:pPr>
              <w:pStyle w:val="Table"/>
              <w:tabs>
                <w:tab w:val="left" w:pos="540"/>
                <w:tab w:val="left" w:pos="720"/>
                <w:tab w:val="left" w:pos="852"/>
              </w:tabs>
              <w:jc w:val="both"/>
              <w:rPr>
                <w:sz w:val="24"/>
                <w:szCs w:val="24"/>
                <w:lang w:val="fr-FR"/>
              </w:rPr>
            </w:pPr>
            <w:r>
              <w:rPr>
                <w:sz w:val="24"/>
                <w:szCs w:val="24"/>
                <w:lang w:val="fr-FR"/>
              </w:rPr>
              <w:t>Bone surface, brain, salivary glands, skin</w:t>
            </w:r>
          </w:p>
        </w:tc>
        <w:tc>
          <w:tcPr>
            <w:tcW w:w="1417" w:type="dxa"/>
            <w:tcBorders>
              <w:bottom w:val="single" w:sz="4" w:space="0" w:color="auto"/>
            </w:tcBorders>
            <w:vAlign w:val="bottom"/>
          </w:tcPr>
          <w:p w14:paraId="14CCE65C" w14:textId="77777777" w:rsidR="00E72CA9" w:rsidRDefault="00D516E3">
            <w:pPr>
              <w:pStyle w:val="Table"/>
              <w:tabs>
                <w:tab w:val="left" w:pos="540"/>
                <w:tab w:val="left" w:pos="720"/>
                <w:tab w:val="left" w:pos="852"/>
              </w:tabs>
              <w:ind w:firstLineChars="50" w:firstLine="120"/>
              <w:jc w:val="both"/>
              <w:rPr>
                <w:sz w:val="24"/>
                <w:szCs w:val="24"/>
              </w:rPr>
            </w:pPr>
            <w:r>
              <w:rPr>
                <w:sz w:val="24"/>
                <w:szCs w:val="24"/>
              </w:rPr>
              <w:t>0.01</w:t>
            </w:r>
          </w:p>
        </w:tc>
        <w:tc>
          <w:tcPr>
            <w:tcW w:w="1418" w:type="dxa"/>
            <w:tcBorders>
              <w:bottom w:val="single" w:sz="4" w:space="0" w:color="auto"/>
              <w:right w:val="nil"/>
            </w:tcBorders>
            <w:vAlign w:val="bottom"/>
          </w:tcPr>
          <w:p w14:paraId="13AE050E" w14:textId="77777777" w:rsidR="00E72CA9" w:rsidRDefault="00D516E3">
            <w:pPr>
              <w:pStyle w:val="Table"/>
              <w:tabs>
                <w:tab w:val="left" w:pos="540"/>
                <w:tab w:val="left" w:pos="720"/>
                <w:tab w:val="left" w:pos="852"/>
              </w:tabs>
              <w:ind w:firstLineChars="50" w:firstLine="120"/>
              <w:jc w:val="both"/>
              <w:rPr>
                <w:sz w:val="24"/>
                <w:szCs w:val="24"/>
              </w:rPr>
            </w:pPr>
            <w:r>
              <w:rPr>
                <w:sz w:val="24"/>
                <w:szCs w:val="24"/>
              </w:rPr>
              <w:t>0.04</w:t>
            </w:r>
          </w:p>
        </w:tc>
      </w:tr>
    </w:tbl>
    <w:p w14:paraId="4DACA5FD" w14:textId="77777777" w:rsidR="00E72CA9" w:rsidRDefault="00D516E3">
      <w:pPr>
        <w:pStyle w:val="Table"/>
        <w:tabs>
          <w:tab w:val="left" w:pos="540"/>
          <w:tab w:val="left" w:pos="720"/>
          <w:tab w:val="left" w:pos="852"/>
        </w:tabs>
        <w:jc w:val="both"/>
      </w:pPr>
      <w:proofErr w:type="spellStart"/>
      <w:r>
        <w:rPr>
          <w:i/>
          <w:iCs/>
        </w:rPr>
        <w:t>w</w:t>
      </w:r>
      <w:r>
        <w:rPr>
          <w:vertAlign w:val="subscript"/>
        </w:rPr>
        <w:t>T</w:t>
      </w:r>
      <w:proofErr w:type="spellEnd"/>
      <w:r>
        <w:t>, tissue weighting factor.</w:t>
      </w:r>
    </w:p>
    <w:p w14:paraId="7368B246" w14:textId="77777777" w:rsidR="00E72CA9" w:rsidRDefault="00D516E3">
      <w:pPr>
        <w:pStyle w:val="Table"/>
        <w:tabs>
          <w:tab w:val="left" w:pos="540"/>
          <w:tab w:val="left" w:pos="720"/>
          <w:tab w:val="left" w:pos="852"/>
        </w:tabs>
        <w:jc w:val="both"/>
      </w:pPr>
      <w:r>
        <w:t>*Remainder tissues: adrenals, extrathoracic (ET) regions of the respiratory tract, gall bladder, heart, kidneys, lymphatic nodes, muscle, oral mucosa, pancreas, prostate (male), small intestine, spleen, thymus, uterus/cervix (female).</w:t>
      </w:r>
    </w:p>
    <w:p w14:paraId="128C1FB1" w14:textId="77777777" w:rsidR="00E72CA9" w:rsidRDefault="00E72CA9">
      <w:pPr>
        <w:pStyle w:val="Table"/>
        <w:tabs>
          <w:tab w:val="left" w:pos="540"/>
          <w:tab w:val="left" w:pos="720"/>
          <w:tab w:val="left" w:pos="852"/>
        </w:tabs>
        <w:jc w:val="both"/>
        <w:rPr>
          <w:sz w:val="24"/>
          <w:szCs w:val="24"/>
        </w:rPr>
      </w:pPr>
    </w:p>
    <w:p w14:paraId="24A8914F" w14:textId="77777777" w:rsidR="00E72CA9" w:rsidRDefault="00D516E3">
      <w:pPr>
        <w:pStyle w:val="ICRPannexparagraph"/>
        <w:ind w:left="0"/>
      </w:pPr>
      <w:r>
        <w:t xml:space="preserve">The tissue weighting factors of Table A.2 are sex- and age-averaged values for all organs and tissues, including the male and female breast, testes, and ovaries (i.e. gonads: related </w:t>
      </w:r>
      <w:r>
        <w:lastRenderedPageBreak/>
        <w:t xml:space="preserve">to possible carcinogenic and heritable effects). This averaging implies that the application of this approach is restricted to the determination of effective dose in radiological protection </w:t>
      </w:r>
      <w:r>
        <w:fldChar w:fldCharType="begin"/>
      </w:r>
      <w:r>
        <w:instrText xml:space="preserve"> ADDIN EN.CITE &lt;EndNote&gt;&lt;Cite&gt;&lt;Author&gt;ICRP&lt;/Author&gt;&lt;Year&gt;2007&lt;/Year&gt;&lt;RecNum&gt;1551&lt;/RecNum&gt;&lt;DisplayText&gt;(ICRP, 2007b)&lt;/DisplayText&gt;&lt;record&gt;&lt;rec-number&gt;1551&lt;/rec-number&gt;&lt;foreign-keys&gt;&lt;key app="EN" db-id="tewdatv2kswps0ep9wgxe0tjvatvprte2wrd" timestamp="1681399860"&gt;1551&lt;/key&gt;&lt;/foreign-keys&gt;&lt;ref-type name="Report"&gt;27&lt;/ref-type&gt;&lt;contributors&gt;&lt;authors&gt;&lt;author&gt;ICRP,&lt;/author&gt;&lt;/authors&gt;&lt;secondary-authors&gt;&lt;author&gt;International Commission on Radiological Protection&lt;/author&gt;&lt;/secondary-authors&gt;&lt;/contributors&gt;&lt;titles&gt;&lt;title&gt;The 2007 Recommendations of the International Commission on Radiological Protection&lt;/title&gt;&lt;secondary-title&gt;ICRP Publication 103&lt;/secondary-title&gt;&lt;/titles&gt;&lt;keywords&gt;&lt;keyword&gt;Justification&lt;/keyword&gt;&lt;keyword&gt;Optimisation&lt;/keyword&gt;&lt;keyword&gt;Dose limits&lt;/keyword&gt;&lt;keyword&gt;Constraints&lt;/keyword&gt;&lt;keyword&gt;Reference Levels&lt;/keyword&gt;&lt;/keywords&gt;&lt;dates&gt;&lt;year&gt;2007&lt;/year&gt;&lt;/dates&gt;&lt;pub-location&gt;Oxford, UK&lt;/pub-location&gt;&lt;publisher&gt;Elsevier&lt;/publisher&gt;&lt;orig-pub&gt;Ann. ICRP 37(2-4)&lt;/orig-pub&gt;&lt;isbn&gt;ICRP Publication 103&lt;/isbn&gt;&lt;work-type&gt;ICRP Publication&lt;/work-type&gt;&lt;urls&gt;&lt;/urls&gt;&lt;/record&gt;&lt;/Cite&gt;&lt;/EndNote&gt;</w:instrText>
      </w:r>
      <w:r>
        <w:fldChar w:fldCharType="separate"/>
      </w:r>
      <w:r>
        <w:rPr>
          <w:noProof/>
        </w:rPr>
        <w:t>(ICRP, 2007)</w:t>
      </w:r>
      <w:r>
        <w:fldChar w:fldCharType="end"/>
      </w:r>
      <w:r>
        <w:t>.</w:t>
      </w:r>
    </w:p>
    <w:p w14:paraId="71DB4C87" w14:textId="77777777" w:rsidR="00E72CA9" w:rsidRDefault="00D516E3">
      <w:pPr>
        <w:pStyle w:val="ICRPannexparagraph"/>
        <w:ind w:left="0"/>
      </w:pPr>
      <w:r>
        <w:rPr>
          <w:i/>
        </w:rPr>
        <w:t>E</w:t>
      </w:r>
      <w:r>
        <w:t xml:space="preserve"> is calculated for sex-averaged Reference Persons at specified ages as defined in </w:t>
      </w:r>
      <w:r>
        <w:rPr>
          <w:i/>
          <w:iCs/>
        </w:rPr>
        <w:t>Publication 89</w:t>
      </w:r>
      <w:r>
        <w:t xml:space="preserve">. The </w:t>
      </w:r>
      <w:r>
        <w:rPr>
          <w:i/>
          <w:iCs/>
        </w:rPr>
        <w:t>Publication 103</w:t>
      </w:r>
      <w:r>
        <w:t xml:space="preserve"> definition includes the specification of reference male and female anatomical phantoms for radiation transport calculations. While exposures may relate to individuals or population groups, </w:t>
      </w:r>
      <w:r>
        <w:rPr>
          <w:i/>
        </w:rPr>
        <w:t>E</w:t>
      </w:r>
      <w:r>
        <w:t xml:space="preserve"> is calculated for Reference Persons exposed in the same way.</w:t>
      </w:r>
    </w:p>
    <w:p w14:paraId="0513C62A" w14:textId="77777777" w:rsidR="00E72CA9" w:rsidRDefault="00D516E3">
      <w:pPr>
        <w:pStyle w:val="ICRPannexparagraph"/>
        <w:ind w:left="0"/>
      </w:pPr>
      <w:r>
        <w:t>Effective dose (</w:t>
      </w:r>
      <w:r>
        <w:rPr>
          <w:i/>
        </w:rPr>
        <w:t>E</w:t>
      </w:r>
      <w:r>
        <w:t xml:space="preserve">), in units of sievert (Sv), is accepted internationally as the central radiological protection quantity and is used for regulatory purposes worldwide, providing a risk-adjusted measure of total body dose from both external and internal sources in relation to stochastic risks of cancer and hereditary effects, expressed in terms of detriment. Considering the uncertainties associated with risk projection to low doses or low dose rates, effective dose may be considered as an approximate indicator of possible risk, recognising also that lifetime cancer risk varies with age at exposure, sex, and population group. </w:t>
      </w:r>
      <w:proofErr w:type="spellStart"/>
      <w:r>
        <w:rPr>
          <w:i/>
        </w:rPr>
        <w:t>E</w:t>
      </w:r>
      <w:proofErr w:type="spellEnd"/>
      <w:r>
        <w:t xml:space="preserve"> has proved to be a valuable and robust quantity for use in the optimisation of protection and in setting of control criteria such as dose limits, constraints and reference levels for workers, research subjects or members of the public. </w:t>
      </w:r>
    </w:p>
    <w:p w14:paraId="62A5FB1E" w14:textId="77777777" w:rsidR="00E72CA9" w:rsidRDefault="00D516E3">
      <w:pPr>
        <w:pStyle w:val="ICRPannexparagraph"/>
        <w:ind w:left="0"/>
      </w:pPr>
      <w:r>
        <w:t xml:space="preserve">ICRP </w:t>
      </w:r>
      <w:r>
        <w:rPr>
          <w:i/>
          <w:iCs/>
        </w:rPr>
        <w:t>Publication 147</w:t>
      </w:r>
      <w:r>
        <w:t xml:space="preserve"> </w:t>
      </w:r>
      <w:r>
        <w:fldChar w:fldCharType="begin"/>
      </w:r>
      <w:r>
        <w:instrText xml:space="preserve"> ADDIN EN.CITE &lt;EndNote&gt;&lt;Cite&gt;&lt;Author&gt;ICRP&lt;/Author&gt;&lt;Year&gt;2021&lt;/Year&gt;&lt;RecNum&gt;11892&lt;/RecNum&gt;&lt;DisplayText&gt;(ICRP, 2021)&lt;/DisplayText&gt;&lt;record&gt;&lt;rec-number&gt;11892&lt;/rec-number&gt;&lt;foreign-keys&gt;&lt;key app="EN" db-id="rss5s0wzrpx9pwe5a0h5a9wkx9sf2zexde9d" timestamp="1614847685"&gt;11892&lt;/key&gt;&lt;/foreign-keys&gt;&lt;ref-type name="Journal Article"&gt;17&lt;/ref-type&gt;&lt;contributors&gt;&lt;authors&gt;&lt;author&gt;ICRP,&lt;/author&gt;&lt;/authors&gt;&lt;/contributors&gt;&lt;titles&gt;&lt;title&gt;Use of Dose Quantities in Radiological Protection. ICRP Publication 147&lt;/title&gt;&lt;secondary-title&gt;Annals of the ICRP&lt;/secondary-title&gt;&lt;/titles&gt;&lt;periodical&gt;&lt;full-title&gt;Annals of the ICRP&lt;/full-title&gt;&lt;abbr-1&gt;Ann. ICRP&lt;/abbr-1&gt;&lt;abbr-2&gt;Ann ICRP&lt;/abbr-2&gt;&lt;/periodical&gt;&lt;volume&gt;50&lt;/volume&gt;&lt;number&gt;1&lt;/number&gt;&lt;keywords&gt;&lt;keyword&gt;Absorbed dose&lt;/keyword&gt;&lt;keyword&gt;Equivalent dose&lt;/keyword&gt;&lt;keyword&gt;Effective dose&lt;/keyword&gt;&lt;keyword&gt;Stochastic risks&lt;/keyword&gt;&lt;keyword&gt;Tissue reactions&lt;/keyword&gt;&lt;keyword&gt;Occupational&lt;/keyword&gt;&lt;keyword&gt;public and medical exposures&lt;/keyword&gt;&lt;/keywords&gt;&lt;dates&gt;&lt;year&gt;2021&lt;/year&gt;&lt;/dates&gt;&lt;accession-num&gt;33653178&lt;/accession-num&gt;&lt;urls&gt;&lt;related-urls&gt;&lt;url&gt;https://journals.sagepub.com/doi/abs/10.1177/0146645320911864&lt;/url&gt;&lt;/related-urls&gt;&lt;/urls&gt;&lt;electronic-resource-num&gt;10.1177/0146645320911864&lt;/electronic-resource-num&gt;&lt;/record&gt;&lt;/Cite&gt;&lt;/EndNote&gt;</w:instrText>
      </w:r>
      <w:r>
        <w:fldChar w:fldCharType="separate"/>
      </w:r>
      <w:r>
        <w:rPr>
          <w:noProof/>
        </w:rPr>
        <w:t>(ICRP, 2021)</w:t>
      </w:r>
      <w:r>
        <w:fldChar w:fldCharType="end"/>
      </w:r>
      <w:r>
        <w:t xml:space="preserve"> provides additional guidance for the use of effective dose to estimate risks, particularly in evaluating exposures of patients from medical procedures. In medical applications, estimates of effective dose can be used for comparing doses from different diagnostic and interventional imaging modalities (e.g. computed tomography and nuclear medicine) and exposure techniques that give different spatial distributions of radiation within the body tissues. In this context, effective dose is used to provide a generic indicator for classifying different types of medical procedure into broad risk categories for the purpose of communicating risks to clinicians and patients. Effective dose is also used to inform decisions on justification of patient diagnostic and interventional procedures, planning requirements in research studies, and evaluation of unintended exposures. In each of these cases, effective dose provides an approximate indicator of possible risk. Thus, effective dose can be used prospectively as an indicator of radiation detriment in justification decisions and when planning medical research studies involving radiation exposure, or retrospectively in assessments of accidental exposures. </w:t>
      </w:r>
    </w:p>
    <w:p w14:paraId="149FA124" w14:textId="77777777" w:rsidR="00E72CA9" w:rsidRDefault="00D516E3">
      <w:pPr>
        <w:pStyle w:val="ICRPannexparagraph"/>
        <w:ind w:left="0"/>
      </w:pPr>
      <w:r>
        <w:t xml:space="preserve">Moreover, ICRP </w:t>
      </w:r>
      <w:r>
        <w:rPr>
          <w:i/>
          <w:iCs/>
        </w:rPr>
        <w:t>Publication 147</w:t>
      </w:r>
      <w:r>
        <w:t xml:space="preserve"> </w:t>
      </w:r>
      <w:r>
        <w:fldChar w:fldCharType="begin"/>
      </w:r>
      <w:r>
        <w:instrText xml:space="preserve"> ADDIN EN.CITE &lt;EndNote&gt;&lt;Cite&gt;&lt;Author&gt;ICRP&lt;/Author&gt;&lt;Year&gt;2021&lt;/Year&gt;&lt;RecNum&gt;11892&lt;/RecNum&gt;&lt;DisplayText&gt;(ICRP, 2021)&lt;/DisplayText&gt;&lt;record&gt;&lt;rec-number&gt;11892&lt;/rec-number&gt;&lt;foreign-keys&gt;&lt;key app="EN" db-id="rss5s0wzrpx9pwe5a0h5a9wkx9sf2zexde9d" timestamp="1614847685"&gt;11892&lt;/key&gt;&lt;/foreign-keys&gt;&lt;ref-type name="Journal Article"&gt;17&lt;/ref-type&gt;&lt;contributors&gt;&lt;authors&gt;&lt;author&gt;ICRP,&lt;/author&gt;&lt;/authors&gt;&lt;/contributors&gt;&lt;titles&gt;&lt;title&gt;Use of Dose Quantities in Radiological Protection. ICRP Publication 147&lt;/title&gt;&lt;secondary-title&gt;Annals of the ICRP&lt;/secondary-title&gt;&lt;/titles&gt;&lt;periodical&gt;&lt;full-title&gt;Annals of the ICRP&lt;/full-title&gt;&lt;abbr-1&gt;Ann. ICRP&lt;/abbr-1&gt;&lt;abbr-2&gt;Ann ICRP&lt;/abbr-2&gt;&lt;/periodical&gt;&lt;volume&gt;50&lt;/volume&gt;&lt;number&gt;1&lt;/number&gt;&lt;keywords&gt;&lt;keyword&gt;Absorbed dose&lt;/keyword&gt;&lt;keyword&gt;Equivalent dose&lt;/keyword&gt;&lt;keyword&gt;Effective dose&lt;/keyword&gt;&lt;keyword&gt;Stochastic risks&lt;/keyword&gt;&lt;keyword&gt;Tissue reactions&lt;/keyword&gt;&lt;keyword&gt;Occupational&lt;/keyword&gt;&lt;keyword&gt;public and medical exposures&lt;/keyword&gt;&lt;/keywords&gt;&lt;dates&gt;&lt;year&gt;2021&lt;/year&gt;&lt;/dates&gt;&lt;accession-num&gt;33653178&lt;/accession-num&gt;&lt;urls&gt;&lt;related-urls&gt;&lt;url&gt;https://journals.sagepub.com/doi/abs/10.1177/0146645320911864&lt;/url&gt;&lt;/related-urls&gt;&lt;/urls&gt;&lt;electronic-resource-num&gt;10.1177/0146645320911864&lt;/electronic-resource-num&gt;&lt;/record&gt;&lt;/Cite&gt;&lt;/EndNote&gt;</w:instrText>
      </w:r>
      <w:r>
        <w:fldChar w:fldCharType="separate"/>
      </w:r>
      <w:r>
        <w:rPr>
          <w:noProof/>
        </w:rPr>
        <w:t>(ICRP, 2021)</w:t>
      </w:r>
      <w:r>
        <w:fldChar w:fldCharType="end"/>
      </w:r>
      <w:r>
        <w:t xml:space="preserve"> lists the situations for medical procedures for which effective dose is not recommended to be used: measurable quantities are used directly in applications comparing doses from particular procedures in different health centres, including the setting of diagnostic reference levels and in maintenance of patient records. For situations in which a single organ receives the majority of the dose, such as the breast in mammography or the thyroid from therapeutic administration of radioiodine, mean absorbed doses to the tissues of interest should be used rather than effective dose.</w:t>
      </w:r>
    </w:p>
    <w:p w14:paraId="4AF5A37D" w14:textId="77777777" w:rsidR="00E72CA9" w:rsidRDefault="00D516E3">
      <w:pPr>
        <w:pStyle w:val="ICRPannexparagraph"/>
        <w:ind w:left="0"/>
      </w:pPr>
      <w:r>
        <w:t xml:space="preserve">For communication of doses and associated health risks, the reader is referred to </w:t>
      </w:r>
      <w:r>
        <w:rPr>
          <w:i/>
          <w:iCs/>
        </w:rPr>
        <w:t>Publication 147</w:t>
      </w:r>
      <w:r>
        <w:t xml:space="preserve"> </w:t>
      </w:r>
      <w:r>
        <w:fldChar w:fldCharType="begin"/>
      </w:r>
      <w:r>
        <w:instrText xml:space="preserve"> ADDIN EN.CITE &lt;EndNote&gt;&lt;Cite&gt;&lt;Author&gt;ICRP&lt;/Author&gt;&lt;Year&gt;2021&lt;/Year&gt;&lt;RecNum&gt;11892&lt;/RecNum&gt;&lt;DisplayText&gt;(ICRP, 2021)&lt;/DisplayText&gt;&lt;record&gt;&lt;rec-number&gt;11892&lt;/rec-number&gt;&lt;foreign-keys&gt;&lt;key app="EN" db-id="rss5s0wzrpx9pwe5a0h5a9wkx9sf2zexde9d" timestamp="1614847685"&gt;11892&lt;/key&gt;&lt;/foreign-keys&gt;&lt;ref-type name="Journal Article"&gt;17&lt;/ref-type&gt;&lt;contributors&gt;&lt;authors&gt;&lt;author&gt;ICRP,&lt;/author&gt;&lt;/authors&gt;&lt;/contributors&gt;&lt;titles&gt;&lt;title&gt;Use of Dose Quantities in Radiological Protection. ICRP Publication 147&lt;/title&gt;&lt;secondary-title&gt;Annals of the ICRP&lt;/secondary-title&gt;&lt;/titles&gt;&lt;periodical&gt;&lt;full-title&gt;Annals of the ICRP&lt;/full-title&gt;&lt;abbr-1&gt;Ann. ICRP&lt;/abbr-1&gt;&lt;abbr-2&gt;Ann ICRP&lt;/abbr-2&gt;&lt;/periodical&gt;&lt;volume&gt;50&lt;/volume&gt;&lt;number&gt;1&lt;/number&gt;&lt;keywords&gt;&lt;keyword&gt;Absorbed dose&lt;/keyword&gt;&lt;keyword&gt;Equivalent dose&lt;/keyword&gt;&lt;keyword&gt;Effective dose&lt;/keyword&gt;&lt;keyword&gt;Stochastic risks&lt;/keyword&gt;&lt;keyword&gt;Tissue reactions&lt;/keyword&gt;&lt;keyword&gt;Occupational&lt;/keyword&gt;&lt;keyword&gt;public and medical exposures&lt;/keyword&gt;&lt;/keywords&gt;&lt;dates&gt;&lt;year&gt;2021&lt;/year&gt;&lt;/dates&gt;&lt;accession-num&gt;33653178&lt;/accession-num&gt;&lt;urls&gt;&lt;related-urls&gt;&lt;url&gt;https://journals.sagepub.com/doi/abs/10.1177/0146645320911864&lt;/url&gt;&lt;/related-urls&gt;&lt;/urls&gt;&lt;electronic-resource-num&gt;10.1177/0146645320911864&lt;/electronic-resource-num&gt;&lt;/record&gt;&lt;/Cite&gt;&lt;/EndNote&gt;</w:instrText>
      </w:r>
      <w:r>
        <w:fldChar w:fldCharType="separate"/>
      </w:r>
      <w:r>
        <w:rPr>
          <w:noProof/>
        </w:rPr>
        <w:t>(ICRP, 2021)</w:t>
      </w:r>
      <w:r>
        <w:fldChar w:fldCharType="end"/>
      </w:r>
      <w:r>
        <w:t>.</w:t>
      </w:r>
    </w:p>
    <w:p w14:paraId="4C8DE234" w14:textId="77777777" w:rsidR="00E72CA9" w:rsidRDefault="00D516E3">
      <w:pPr>
        <w:pStyle w:val="ICRPannexheading2"/>
        <w:ind w:left="576"/>
        <w:outlineLvl w:val="1"/>
      </w:pPr>
      <w:bookmarkStart w:id="189" w:name="_Toc510393106"/>
      <w:bookmarkStart w:id="190" w:name="_Toc510394591"/>
      <w:bookmarkStart w:id="191" w:name="_Toc5194861"/>
      <w:bookmarkStart w:id="192" w:name="_Toc111194093"/>
      <w:bookmarkStart w:id="193" w:name="_Toc158293671"/>
      <w:bookmarkStart w:id="194" w:name="_Toc165302059"/>
      <w:r>
        <w:t>Air kerma</w:t>
      </w:r>
      <w:bookmarkEnd w:id="189"/>
      <w:bookmarkEnd w:id="190"/>
      <w:bookmarkEnd w:id="191"/>
      <w:bookmarkEnd w:id="192"/>
      <w:r>
        <w:t xml:space="preserve"> and associated quantities</w:t>
      </w:r>
      <w:bookmarkEnd w:id="193"/>
      <w:bookmarkEnd w:id="194"/>
    </w:p>
    <w:p w14:paraId="7A2BBF07" w14:textId="77777777" w:rsidR="00E72CA9" w:rsidRDefault="00D516E3">
      <w:pPr>
        <w:pStyle w:val="ICRPannexparagraph"/>
        <w:ind w:left="0"/>
      </w:pPr>
      <w:r>
        <w:t xml:space="preserve">The kerma, </w:t>
      </w:r>
      <m:oMath>
        <m:r>
          <w:rPr>
            <w:rFonts w:ascii="Cambria Math" w:hAnsi="Cambria Math"/>
            <w:color w:val="000000"/>
            <w:szCs w:val="24"/>
          </w:rPr>
          <m:t>K</m:t>
        </m:r>
      </m:oMath>
      <w:r>
        <w:t xml:space="preserve">, for ionising uncharged particles, is given by </w:t>
      </w:r>
    </w:p>
    <w:p w14:paraId="7B4C5D16" w14:textId="77777777" w:rsidR="00E72CA9" w:rsidRDefault="00E72CA9">
      <w:pPr>
        <w:pStyle w:val="Annalstext"/>
        <w:tabs>
          <w:tab w:val="clear" w:pos="502"/>
        </w:tabs>
        <w:ind w:left="284" w:firstLine="0"/>
      </w:pPr>
    </w:p>
    <w:p w14:paraId="3B9C0469" w14:textId="77777777" w:rsidR="00E72CA9" w:rsidRDefault="00D516E3">
      <w:pPr>
        <w:pStyle w:val="Annalstext"/>
        <w:tabs>
          <w:tab w:val="clear" w:pos="502"/>
        </w:tabs>
        <w:ind w:left="284" w:firstLine="0"/>
        <w:jc w:val="right"/>
      </w:pPr>
      <m:oMath>
        <m:r>
          <w:rPr>
            <w:rFonts w:ascii="Cambria Math" w:eastAsia="Cambria Math" w:hAnsi="Cambria Math"/>
            <w:color w:val="000000"/>
            <w:szCs w:val="24"/>
          </w:rPr>
          <m:t>K=</m:t>
        </m:r>
        <m:f>
          <m:fPr>
            <m:ctrlPr>
              <w:rPr>
                <w:rFonts w:ascii="Cambria Math" w:eastAsia="Cambria Math" w:hAnsi="Cambria Math"/>
                <w:i/>
                <w:color w:val="000000"/>
                <w:szCs w:val="24"/>
              </w:rPr>
            </m:ctrlPr>
          </m:fPr>
          <m:num>
            <m:r>
              <m:rPr>
                <m:sty m:val="p"/>
              </m:rPr>
              <w:rPr>
                <w:rFonts w:ascii="Cambria Math" w:eastAsia="Cambria Math" w:hAnsi="Cambria Math"/>
                <w:color w:val="000000"/>
                <w:szCs w:val="24"/>
              </w:rPr>
              <m:t>d</m:t>
            </m:r>
            <m:sSub>
              <m:sSubPr>
                <m:ctrlPr>
                  <w:rPr>
                    <w:rFonts w:ascii="Cambria Math" w:eastAsia="Cambria Math" w:hAnsi="Cambria Math"/>
                    <w:i/>
                    <w:color w:val="000000"/>
                    <w:szCs w:val="24"/>
                  </w:rPr>
                </m:ctrlPr>
              </m:sSubPr>
              <m:e>
                <m:r>
                  <w:rPr>
                    <w:rFonts w:ascii="Cambria Math" w:eastAsia="Cambria Math" w:hAnsi="Cambria Math"/>
                    <w:color w:val="000000"/>
                    <w:szCs w:val="24"/>
                  </w:rPr>
                  <m:t>E</m:t>
                </m:r>
              </m:e>
              <m:sub>
                <m:r>
                  <m:rPr>
                    <m:sty m:val="p"/>
                  </m:rPr>
                  <w:rPr>
                    <w:rFonts w:ascii="Cambria Math" w:eastAsia="Cambria Math" w:hAnsi="Cambria Math"/>
                    <w:color w:val="000000"/>
                    <w:szCs w:val="24"/>
                  </w:rPr>
                  <m:t>tr</m:t>
                </m:r>
              </m:sub>
            </m:sSub>
          </m:num>
          <m:den>
            <m:r>
              <m:rPr>
                <m:sty m:val="p"/>
              </m:rPr>
              <w:rPr>
                <w:rFonts w:ascii="Cambria Math" w:eastAsia="Cambria Math" w:hAnsi="Cambria Math"/>
                <w:color w:val="000000"/>
                <w:szCs w:val="24"/>
              </w:rPr>
              <m:t>d</m:t>
            </m:r>
            <m:r>
              <w:rPr>
                <w:rFonts w:ascii="Cambria Math" w:eastAsia="Cambria Math" w:hAnsi="Cambria Math"/>
                <w:color w:val="000000"/>
                <w:szCs w:val="24"/>
              </w:rPr>
              <m:t>m</m:t>
            </m:r>
          </m:den>
        </m:f>
        <m:r>
          <w:rPr>
            <w:rFonts w:ascii="Cambria Math" w:eastAsia="Cambria Math" w:hAnsi="Cambria Math"/>
            <w:color w:val="000000"/>
            <w:szCs w:val="24"/>
          </w:rPr>
          <m:t xml:space="preserve"> </m:t>
        </m:r>
      </m:oMath>
      <w:r>
        <w:tab/>
      </w:r>
      <w:r>
        <w:tab/>
      </w:r>
      <w:r>
        <w:tab/>
      </w:r>
      <w:r>
        <w:tab/>
      </w:r>
      <w:r>
        <w:tab/>
      </w:r>
      <w:r>
        <w:tab/>
        <w:t>(A.4)</w:t>
      </w:r>
    </w:p>
    <w:p w14:paraId="6B620DE1" w14:textId="77777777" w:rsidR="00E72CA9" w:rsidRDefault="00E72CA9">
      <w:pPr>
        <w:pStyle w:val="Annalstext"/>
        <w:tabs>
          <w:tab w:val="clear" w:pos="502"/>
        </w:tabs>
        <w:ind w:left="0" w:firstLine="0"/>
      </w:pPr>
    </w:p>
    <w:p w14:paraId="2BBB537F" w14:textId="77777777" w:rsidR="00E72CA9" w:rsidRDefault="00D516E3">
      <w:pPr>
        <w:pStyle w:val="Annalstext"/>
        <w:tabs>
          <w:tab w:val="clear" w:pos="502"/>
        </w:tabs>
        <w:ind w:left="0" w:firstLine="0"/>
      </w:pPr>
      <w:r>
        <w:lastRenderedPageBreak/>
        <w:t xml:space="preserve">where </w:t>
      </w:r>
      <m:oMath>
        <m:r>
          <m:rPr>
            <m:sty m:val="p"/>
          </m:rPr>
          <w:rPr>
            <w:rFonts w:ascii="Cambria Math" w:hAnsi="Cambria Math"/>
            <w:color w:val="000000"/>
            <w:szCs w:val="24"/>
          </w:rPr>
          <m:t>d</m:t>
        </m:r>
        <m:sSub>
          <m:sSubPr>
            <m:ctrlPr>
              <w:rPr>
                <w:rFonts w:ascii="Cambria Math" w:hAnsi="Cambria Math"/>
                <w:color w:val="000000"/>
                <w:szCs w:val="24"/>
              </w:rPr>
            </m:ctrlPr>
          </m:sSubPr>
          <m:e>
            <m:r>
              <w:rPr>
                <w:rFonts w:ascii="Cambria Math" w:hAnsi="Cambria Math"/>
                <w:color w:val="000000"/>
                <w:szCs w:val="24"/>
              </w:rPr>
              <m:t>E</m:t>
            </m:r>
          </m:e>
          <m:sub>
            <m:r>
              <m:rPr>
                <m:sty m:val="p"/>
              </m:rPr>
              <w:rPr>
                <w:rFonts w:ascii="Cambria Math" w:hAnsi="Cambria Math"/>
                <w:color w:val="000000"/>
                <w:szCs w:val="24"/>
              </w:rPr>
              <m:t>tr</m:t>
            </m:r>
          </m:sub>
        </m:sSub>
      </m:oMath>
      <w:r>
        <w:t xml:space="preserve"> is the mean sum of the initial kinetic energies of all the charged particles liberated in the mass (</w:t>
      </w:r>
      <m:oMath>
        <m:r>
          <m:rPr>
            <m:sty m:val="p"/>
          </m:rPr>
          <w:rPr>
            <w:rFonts w:ascii="Cambria Math" w:hAnsi="Cambria Math"/>
            <w:color w:val="000000"/>
            <w:szCs w:val="24"/>
          </w:rPr>
          <m:t>d</m:t>
        </m:r>
        <m:r>
          <w:rPr>
            <w:rFonts w:ascii="Cambria Math" w:hAnsi="Cambria Math"/>
            <w:color w:val="000000"/>
            <w:szCs w:val="24"/>
          </w:rPr>
          <m:t>m</m:t>
        </m:r>
      </m:oMath>
      <w:r>
        <w:t xml:space="preserve">) of a material by the uncharged particles incident on </w:t>
      </w:r>
      <m:oMath>
        <m:r>
          <m:rPr>
            <m:sty m:val="p"/>
          </m:rPr>
          <w:rPr>
            <w:rFonts w:ascii="Cambria Math" w:hAnsi="Cambria Math"/>
            <w:color w:val="000000"/>
            <w:szCs w:val="24"/>
          </w:rPr>
          <m:t>d</m:t>
        </m:r>
        <m:r>
          <w:rPr>
            <w:rFonts w:ascii="Cambria Math" w:hAnsi="Cambria Math"/>
            <w:color w:val="000000"/>
            <w:szCs w:val="24"/>
          </w:rPr>
          <m:t>m</m:t>
        </m:r>
      </m:oMath>
      <w:r>
        <w:t>. The unit of kerma is J kg</w:t>
      </w:r>
      <w:r>
        <w:rPr>
          <w:vertAlign w:val="superscript"/>
        </w:rPr>
        <w:t>−1</w:t>
      </w:r>
      <w:r>
        <w:t>, and has the special name gray (Gy). The quantity (</w:t>
      </w:r>
      <m:oMath>
        <m:r>
          <m:rPr>
            <m:sty m:val="p"/>
          </m:rPr>
          <w:rPr>
            <w:rFonts w:ascii="Cambria Math" w:hAnsi="Cambria Math"/>
            <w:color w:val="000000"/>
            <w:szCs w:val="24"/>
          </w:rPr>
          <m:t>d</m:t>
        </m:r>
        <m:sSub>
          <m:sSubPr>
            <m:ctrlPr>
              <w:rPr>
                <w:rFonts w:ascii="Cambria Math" w:hAnsi="Cambria Math"/>
                <w:color w:val="000000"/>
                <w:szCs w:val="24"/>
              </w:rPr>
            </m:ctrlPr>
          </m:sSubPr>
          <m:e>
            <m:r>
              <w:rPr>
                <w:rFonts w:ascii="Cambria Math" w:hAnsi="Cambria Math"/>
                <w:color w:val="000000"/>
                <w:szCs w:val="24"/>
              </w:rPr>
              <m:t>E</m:t>
            </m:r>
          </m:e>
          <m:sub>
            <m:r>
              <m:rPr>
                <m:sty m:val="p"/>
              </m:rPr>
              <w:rPr>
                <w:rFonts w:ascii="Cambria Math" w:hAnsi="Cambria Math"/>
                <w:color w:val="000000"/>
                <w:szCs w:val="24"/>
              </w:rPr>
              <m:t>tr</m:t>
            </m:r>
          </m:sub>
        </m:sSub>
      </m:oMath>
      <w:r>
        <w:t>) includes the kinetic energy of the charged particles emitted in the decay of excited atoms/molecules or in nuclear de-excitation or disintegration.</w:t>
      </w:r>
    </w:p>
    <w:p w14:paraId="4C7EF232" w14:textId="77777777" w:rsidR="00E72CA9" w:rsidRDefault="00D516E3">
      <w:pPr>
        <w:pStyle w:val="ICRPannexparagraph"/>
        <w:ind w:left="0"/>
        <w:rPr>
          <w:szCs w:val="24"/>
          <w:lang w:eastAsia="en-GB"/>
        </w:rPr>
      </w:pPr>
      <w:r>
        <w:rPr>
          <w:rStyle w:val="Annalstext0"/>
          <w:szCs w:val="24"/>
        </w:rPr>
        <w:t xml:space="preserve">The air kerma-area product is the integral of the air kerma free-in-air (i.e. in the absence of backscatter) over the area of the x-ray beam in a plane perpendicular to the beam axis. In many medical publications and also this </w:t>
      </w:r>
      <w:r>
        <w:t>publication</w:t>
      </w:r>
      <w:r>
        <w:rPr>
          <w:rStyle w:val="Annalstext0"/>
          <w:szCs w:val="24"/>
        </w:rPr>
        <w:t xml:space="preserve">, the acronym used for this quantity is KAP (in this </w:t>
      </w:r>
      <w:r>
        <w:t>publication</w:t>
      </w:r>
      <w:r>
        <w:rPr>
          <w:rStyle w:val="Annalstext0"/>
          <w:szCs w:val="24"/>
        </w:rPr>
        <w:t xml:space="preserve"> measured in mGy cm</w:t>
      </w:r>
      <w:r>
        <w:rPr>
          <w:rStyle w:val="Annalstext0"/>
          <w:szCs w:val="24"/>
          <w:vertAlign w:val="superscript"/>
        </w:rPr>
        <w:t>2</w:t>
      </w:r>
      <w:r>
        <w:rPr>
          <w:rStyle w:val="Annalstext0"/>
          <w:szCs w:val="24"/>
        </w:rPr>
        <w:t xml:space="preserve">). </w:t>
      </w:r>
      <w:r>
        <w:t xml:space="preserve">The ICRU notation for this quantity is </w:t>
      </w:r>
      <w:r>
        <w:rPr>
          <w:i/>
        </w:rPr>
        <w:t>P</w:t>
      </w:r>
      <w:r>
        <w:rPr>
          <w:iCs/>
          <w:vertAlign w:val="subscript"/>
        </w:rPr>
        <w:t>KA</w:t>
      </w:r>
      <w:r>
        <w:rPr>
          <w:rStyle w:val="Annalstext0"/>
          <w:szCs w:val="24"/>
        </w:rPr>
        <w:t xml:space="preserve">. The </w:t>
      </w:r>
      <w:r>
        <w:rPr>
          <w:lang w:eastAsia="en-GB"/>
        </w:rPr>
        <w:t>air kerma-area product is easily measurable and</w:t>
      </w:r>
      <w:r>
        <w:t xml:space="preserve"> </w:t>
      </w:r>
      <w:r>
        <w:rPr>
          <w:szCs w:val="24"/>
          <w:lang w:eastAsia="en-GB"/>
        </w:rPr>
        <w:t>can be used as normalisation quantity to derive relevant dosimetric quantities, such as organ and effective doses, using dose coefficients.</w:t>
      </w:r>
    </w:p>
    <w:p w14:paraId="3D1E57CF" w14:textId="77777777" w:rsidR="00E72CA9" w:rsidRDefault="00D516E3">
      <w:pPr>
        <w:pStyle w:val="ICRPannexparagraph"/>
        <w:ind w:left="0"/>
      </w:pPr>
      <w:r>
        <w:t xml:space="preserve"> The air kerma </w:t>
      </w:r>
      <w:r>
        <w:rPr>
          <w:szCs w:val="24"/>
        </w:rPr>
        <w:t>free-in-air</w:t>
      </w:r>
      <w:r>
        <w:t xml:space="preserve"> at the reference plane is the air kerma from the incident beam on the central x-ray beam axis at the centre of a reference plane without backscatter. Air kerma </w:t>
      </w:r>
      <w:r>
        <w:rPr>
          <w:szCs w:val="24"/>
        </w:rPr>
        <w:t>free-in-air</w:t>
      </w:r>
      <w:r>
        <w:t xml:space="preserve"> can be calculated from the x-ray tube output, where output is measured using a calibrated ionising chamber. It can be used to determine the incident air kerma (see ICRP Glossary). </w:t>
      </w:r>
    </w:p>
    <w:p w14:paraId="501B6C67" w14:textId="77777777" w:rsidR="00E72CA9" w:rsidRDefault="00D516E3">
      <w:pPr>
        <w:pStyle w:val="ICRPannexparagraph"/>
        <w:ind w:left="0"/>
      </w:pPr>
      <w:r>
        <w:t xml:space="preserve"> The entrance surface air kerma is the air kerma at the skin at the surface where an x-ray beam enters the skin. It includes the contribution from backscattered photons.</w:t>
      </w:r>
    </w:p>
    <w:p w14:paraId="471A7AD8" w14:textId="77777777" w:rsidR="00E72CA9" w:rsidRDefault="00D516E3">
      <w:pPr>
        <w:pStyle w:val="ICRPannexparagraph"/>
        <w:ind w:left="0"/>
      </w:pPr>
      <w:r>
        <w:t xml:space="preserve"> The incident air kerma is the air kerma at the skin at the surface where an x-ray beam enters the skin when the contribution from backscattered photons is ignored.</w:t>
      </w:r>
    </w:p>
    <w:p w14:paraId="5DE778A0" w14:textId="77777777" w:rsidR="00E72CA9" w:rsidRDefault="00D516E3">
      <w:pPr>
        <w:pStyle w:val="ICRPannexheading2"/>
        <w:ind w:left="576"/>
        <w:outlineLvl w:val="1"/>
      </w:pPr>
      <w:bookmarkStart w:id="195" w:name="_Toc165302060"/>
      <w:r>
        <w:t>References</w:t>
      </w:r>
      <w:bookmarkEnd w:id="195"/>
    </w:p>
    <w:p w14:paraId="140B68E5" w14:textId="77777777" w:rsidR="00E72CA9" w:rsidRDefault="00D516E3">
      <w:pPr>
        <w:pStyle w:val="EndNoteBibliography"/>
        <w:ind w:left="284" w:hanging="284"/>
        <w:rPr>
          <w:sz w:val="22"/>
          <w:szCs w:val="22"/>
        </w:rPr>
      </w:pPr>
      <w:r>
        <w:rPr>
          <w:sz w:val="22"/>
          <w:szCs w:val="22"/>
        </w:rPr>
        <w:t>ICRP, 1991. 1990 Recommendations of the International Commission on Radiological Protection. ICRP Publication ICRP Publication 60. Ann. ICRP 21(1–3).</w:t>
      </w:r>
    </w:p>
    <w:p w14:paraId="14C3D9B5" w14:textId="77777777" w:rsidR="00E72CA9" w:rsidRDefault="00D516E3">
      <w:pPr>
        <w:ind w:left="284" w:hanging="284"/>
      </w:pPr>
      <w:r>
        <w:t>ICRP, 2001. Doses to the embryo and fetus from intakes of radionuclides by the mother. ICRP Publication 88. Ann. ICRP 31(1–3)</w:t>
      </w:r>
    </w:p>
    <w:p w14:paraId="3883B74A" w14:textId="77777777" w:rsidR="00E72CA9" w:rsidRDefault="00D516E3">
      <w:pPr>
        <w:ind w:left="284" w:hanging="284"/>
      </w:pPr>
      <w:r>
        <w:t>ICRP, 2004. Doses to infants from radionuclides ingested in mothers’ milk. ICPR Publication 95. Ann. ICRP 34(3–4).</w:t>
      </w:r>
    </w:p>
    <w:p w14:paraId="301B771D" w14:textId="77777777" w:rsidR="00E72CA9" w:rsidRDefault="00D516E3">
      <w:pPr>
        <w:ind w:left="284" w:hanging="284"/>
      </w:pPr>
      <w:r>
        <w:t>ICRP, 2006. Assessing Dose of the Representative Person for the Purpose of the Radiation Protection of the Public. ICRP Publication 101a. Ann. ICRP 36 (3).</w:t>
      </w:r>
    </w:p>
    <w:p w14:paraId="28B55639" w14:textId="77777777" w:rsidR="00E72CA9" w:rsidRDefault="00D516E3">
      <w:pPr>
        <w:ind w:left="284" w:hanging="284"/>
      </w:pPr>
      <w:r>
        <w:t>ICRP, 2007. The 2007 Recommendations of the International Commission on Radiological Protection. ICRP Publication ICRP Publication 103. Ann. ICRP 37(2–4).</w:t>
      </w:r>
    </w:p>
    <w:p w14:paraId="4FB99582" w14:textId="77777777" w:rsidR="00E72CA9" w:rsidRDefault="00D516E3">
      <w:pPr>
        <w:ind w:left="284" w:hanging="284"/>
      </w:pPr>
      <w:r>
        <w:t xml:space="preserve">ICRP, 2021. Use of Dose Quantities in Radiological Protection. ICRP Publication 147. Ann. ICRP 50(1). </w:t>
      </w:r>
    </w:p>
    <w:p w14:paraId="1DA97D09" w14:textId="77777777" w:rsidR="00E72CA9" w:rsidRDefault="00D516E3">
      <w:pPr>
        <w:ind w:left="284" w:hanging="284"/>
        <w:rPr>
          <w:lang w:eastAsia="ja-JP"/>
        </w:rPr>
      </w:pPr>
      <w:r>
        <w:br w:type="page"/>
      </w:r>
    </w:p>
    <w:p w14:paraId="0A2E8FD3" w14:textId="77777777" w:rsidR="00E72CA9" w:rsidRDefault="00D516E3">
      <w:pPr>
        <w:pStyle w:val="ICRPannexheading1"/>
        <w:outlineLvl w:val="0"/>
      </w:pPr>
      <w:bookmarkStart w:id="196" w:name="_Toc158293349"/>
      <w:bookmarkStart w:id="197" w:name="_Toc158293672"/>
      <w:bookmarkStart w:id="198" w:name="_Toc165302061"/>
      <w:bookmarkEnd w:id="163"/>
      <w:bookmarkEnd w:id="164"/>
      <w:bookmarkEnd w:id="165"/>
      <w:bookmarkEnd w:id="166"/>
      <w:bookmarkEnd w:id="167"/>
      <w:r>
        <w:lastRenderedPageBreak/>
        <w:t>definitions of fields for the Projections considered</w:t>
      </w:r>
      <w:bookmarkEnd w:id="196"/>
      <w:bookmarkEnd w:id="197"/>
      <w:bookmarkEnd w:id="198"/>
    </w:p>
    <w:p w14:paraId="3750450E" w14:textId="77777777" w:rsidR="00E72CA9" w:rsidRDefault="00D516E3">
      <w:pPr>
        <w:pStyle w:val="ICRPannexparagraph"/>
        <w:ind w:left="0"/>
      </w:pPr>
      <w:r>
        <w:t>In the following the anatomical landmarks for field definition are shown for each examination. The fields are shown with their sizes at the centre of the phantoms.</w:t>
      </w:r>
    </w:p>
    <w:p w14:paraId="1D75F4CB" w14:textId="20C3FCC6" w:rsidR="00E72CA9" w:rsidRDefault="00D516E3">
      <w:pPr>
        <w:pStyle w:val="ICRPannexparagraph"/>
        <w:ind w:left="0"/>
      </w:pPr>
      <w:r>
        <w:t xml:space="preserve">As described in Section 3.3, the projections used in the simulations were defined using an iterative process as shown in Fig. 3.1. Typical field sizes and positioning for each projection was obtained initially from a standard textbook of radiography, intended to teach student radiographers the proper way to obtain radiographs (Whitley et al 2015). The information was then used, in conjunction with clinical input, to define initial positioning on the phantom. </w:t>
      </w:r>
    </w:p>
    <w:p w14:paraId="513CC6E5" w14:textId="77777777" w:rsidR="00E72CA9" w:rsidRDefault="00D516E3">
      <w:pPr>
        <w:pStyle w:val="ICRPannexparagraph"/>
        <w:ind w:left="0"/>
      </w:pPr>
      <w:r>
        <w:t>For defining the field borders with respect to the phantoms, information on the rectangular prisms containing the organs under consideration was used, i.e. the minimum and maximum columns, rows and slabs occupied by the respective organs, together with the voxel dimensions. If specified in the geometry description, additional margins were added. For example, for a position ‘1–2 cm above dome of diaphragm’, 1.5 cm was added to the topmost coordinate of the liver. In this way, the minimum and maximum z-coordinates to be covered by the field were evaluated, and thus the field height and centre, where the latter marks the z coordinate of the radiation source. Next, the maximum extensions of the slab were assessed where the source z-coordinate is located. For anterior-posterior (AP) and postero-anterior (PA) projections, the minimum and maximum rows of that slab were assessed and for lateral projections, the minimum and maximum columns. These mark the entrance and exit points of the central beam with respect to the body. If use of an anti-scatter grid was assumed, the image receptor plane was assumed 10 cm away from the beam exit point; if no grid was to be considered, the exit point marked the location of the image receptor plane. The source coordinate was then assumed at the focus-to-receptor distance on the opposite side of the body. For the lateral field borders, the same method was applied as for the superior and inferior borders, i.e. use of the rectangular prism containing the organs considered and adding margins if needed. Thus, the field width and centre were assessed, where the centre marks the third source coordinate. The field size determined was assumed to be at the centre of the phantom, in a plane between the beam entrance and exit points into and from the body. Similarly, the irradiation fields shown on the phantoms at Annex A are at the centre of the phantoms.</w:t>
      </w:r>
    </w:p>
    <w:p w14:paraId="23A70D0B" w14:textId="77777777" w:rsidR="00E72CA9" w:rsidRDefault="00D516E3">
      <w:pPr>
        <w:pStyle w:val="ICRPannexparagraph"/>
        <w:ind w:left="0"/>
      </w:pPr>
      <w:r>
        <w:t xml:space="preserve">The position of each projection was then assessed by two experienced radiologists and positioning and field definition amended until there was agreement between them that each one was representative of good technique.  </w:t>
      </w:r>
    </w:p>
    <w:p w14:paraId="5AAC2E45" w14:textId="77777777" w:rsidR="00E72CA9" w:rsidRDefault="00D516E3">
      <w:pPr>
        <w:pStyle w:val="ICRPannexheading2"/>
        <w:numPr>
          <w:ilvl w:val="1"/>
          <w:numId w:val="25"/>
        </w:numPr>
        <w:tabs>
          <w:tab w:val="clear" w:pos="851"/>
          <w:tab w:val="left" w:pos="567"/>
        </w:tabs>
        <w:spacing w:before="240"/>
        <w:ind w:hanging="860"/>
        <w:outlineLvl w:val="1"/>
        <w:rPr>
          <w:szCs w:val="28"/>
        </w:rPr>
      </w:pPr>
      <w:bookmarkStart w:id="199" w:name="_Toc158293673"/>
      <w:bookmarkStart w:id="200" w:name="_Toc165302062"/>
      <w:bookmarkStart w:id="201" w:name="_Toc90998637"/>
      <w:r>
        <w:rPr>
          <w:szCs w:val="28"/>
        </w:rPr>
        <w:t>Adult radiography</w:t>
      </w:r>
      <w:bookmarkEnd w:id="199"/>
      <w:bookmarkEnd w:id="200"/>
    </w:p>
    <w:bookmarkEnd w:id="201"/>
    <w:p w14:paraId="1A77EDA7" w14:textId="77777777" w:rsidR="00E72CA9" w:rsidRDefault="00D516E3">
      <w:pPr>
        <w:pStyle w:val="Annaddtxt"/>
        <w:tabs>
          <w:tab w:val="clear" w:pos="646"/>
          <w:tab w:val="left" w:pos="851"/>
        </w:tabs>
        <w:ind w:firstLine="284"/>
      </w:pPr>
      <w:r>
        <w:t>(B5) In adult radiography, anti-scatter grids are used for all examinations considered, thus causing a skin-to-detector distance of 10 cm.</w:t>
      </w:r>
    </w:p>
    <w:p w14:paraId="05E4D851" w14:textId="77777777" w:rsidR="00E72CA9" w:rsidRDefault="00D516E3">
      <w:pPr>
        <w:pStyle w:val="Annaddtxt"/>
        <w:tabs>
          <w:tab w:val="clear" w:pos="646"/>
          <w:tab w:val="left" w:pos="851"/>
        </w:tabs>
      </w:pPr>
      <w:r>
        <w:br w:type="page"/>
      </w:r>
    </w:p>
    <w:p w14:paraId="374B5B31" w14:textId="77777777" w:rsidR="00E72CA9" w:rsidRDefault="00D516E3">
      <w:pPr>
        <w:pStyle w:val="ICRPannexheading3"/>
        <w:ind w:left="720"/>
      </w:pPr>
      <w:r>
        <w:lastRenderedPageBreak/>
        <w:t xml:space="preserve">Chest posterior-anterior (PA)  </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39929F5E" w14:textId="77777777">
        <w:tc>
          <w:tcPr>
            <w:tcW w:w="3330" w:type="dxa"/>
            <w:shd w:val="clear" w:color="auto" w:fill="auto"/>
          </w:tcPr>
          <w:p w14:paraId="60F63061"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5FAAE150" w14:textId="77777777" w:rsidR="00E72CA9" w:rsidRDefault="00D516E3">
            <w:pPr>
              <w:pStyle w:val="Annalstext"/>
              <w:tabs>
                <w:tab w:val="clear" w:pos="502"/>
              </w:tabs>
              <w:ind w:left="0" w:firstLine="0"/>
              <w:rPr>
                <w:bCs/>
                <w:snapToGrid/>
                <w:sz w:val="20"/>
                <w:lang w:val="en-US"/>
              </w:rPr>
            </w:pPr>
            <w:r>
              <w:rPr>
                <w:bCs/>
                <w:snapToGrid/>
                <w:sz w:val="20"/>
                <w:lang w:val="en-US"/>
              </w:rPr>
              <w:t xml:space="preserve">Extends from ca. 1 cm above clavicles and scapulae, down to lateral bottom of the rib cage (10th rib, </w:t>
            </w:r>
            <w:proofErr w:type="spellStart"/>
            <w:r>
              <w:rPr>
                <w:bCs/>
                <w:snapToGrid/>
                <w:sz w:val="20"/>
                <w:lang w:val="en-US"/>
              </w:rPr>
              <w:t>costo</w:t>
            </w:r>
            <w:proofErr w:type="spellEnd"/>
            <w:r>
              <w:rPr>
                <w:bCs/>
                <w:snapToGrid/>
                <w:sz w:val="20"/>
                <w:lang w:val="en-US"/>
              </w:rPr>
              <w:t>-phrenic angles)</w:t>
            </w:r>
          </w:p>
        </w:tc>
      </w:tr>
      <w:tr w:rsidR="00E72CA9" w14:paraId="2D978623" w14:textId="77777777">
        <w:tc>
          <w:tcPr>
            <w:tcW w:w="3330" w:type="dxa"/>
            <w:shd w:val="clear" w:color="auto" w:fill="auto"/>
          </w:tcPr>
          <w:p w14:paraId="48F8A2CD"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058A8185" w14:textId="77777777" w:rsidR="00E72CA9" w:rsidRDefault="00D516E3">
            <w:pPr>
              <w:pStyle w:val="Annalstext"/>
              <w:tabs>
                <w:tab w:val="clear" w:pos="502"/>
              </w:tabs>
              <w:ind w:left="0" w:firstLine="0"/>
              <w:rPr>
                <w:bCs/>
                <w:snapToGrid/>
                <w:sz w:val="20"/>
                <w:lang w:val="en-US"/>
              </w:rPr>
            </w:pPr>
            <w:r>
              <w:rPr>
                <w:bCs/>
                <w:snapToGrid/>
                <w:sz w:val="20"/>
                <w:lang w:val="en-US"/>
              </w:rPr>
              <w:t>Includes at least skin margins (in non-obese reference phantoms) and medial part (half) of the humeral head</w:t>
            </w:r>
          </w:p>
        </w:tc>
      </w:tr>
      <w:tr w:rsidR="00E72CA9" w14:paraId="5DB9016F" w14:textId="77777777">
        <w:tc>
          <w:tcPr>
            <w:tcW w:w="3330" w:type="dxa"/>
            <w:shd w:val="clear" w:color="auto" w:fill="auto"/>
          </w:tcPr>
          <w:p w14:paraId="2901B6BF"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41CC828C" w14:textId="77777777" w:rsidR="00E72CA9" w:rsidRDefault="00D516E3">
            <w:pPr>
              <w:pStyle w:val="Annalstext"/>
              <w:tabs>
                <w:tab w:val="clear" w:pos="502"/>
              </w:tabs>
              <w:ind w:left="0" w:firstLine="0"/>
              <w:rPr>
                <w:bCs/>
                <w:snapToGrid/>
                <w:sz w:val="20"/>
                <w:lang w:val="en-US"/>
              </w:rPr>
            </w:pPr>
            <w:r>
              <w:rPr>
                <w:bCs/>
                <w:snapToGrid/>
                <w:sz w:val="20"/>
                <w:lang w:val="en-US"/>
              </w:rPr>
              <w:t>180 cm</w:t>
            </w:r>
          </w:p>
        </w:tc>
      </w:tr>
      <w:tr w:rsidR="00E72CA9" w14:paraId="780BE934" w14:textId="77777777">
        <w:tc>
          <w:tcPr>
            <w:tcW w:w="3330" w:type="dxa"/>
            <w:shd w:val="clear" w:color="auto" w:fill="auto"/>
          </w:tcPr>
          <w:p w14:paraId="1D78F198"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43D907C5"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7BFE6B85" w14:textId="77777777" w:rsidR="00E72CA9" w:rsidRDefault="00D516E3">
      <w:pPr>
        <w:pStyle w:val="Annaddtxt"/>
        <w:tabs>
          <w:tab w:val="clear" w:pos="646"/>
          <w:tab w:val="left" w:pos="851"/>
        </w:tabs>
        <w:jc w:val="center"/>
      </w:pPr>
      <w:bookmarkStart w:id="202" w:name="_Hlk158755689"/>
      <w:r>
        <w:rPr>
          <w:noProof/>
          <w:snapToGrid/>
          <w:lang w:val="en-US" w:eastAsia="en-US"/>
        </w:rPr>
        <w:drawing>
          <wp:inline distT="0" distB="0" distL="0" distR="0" wp14:anchorId="5FD11156" wp14:editId="7292E908">
            <wp:extent cx="1207742" cy="2484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RCP-AM_Chest PA.png"/>
                    <pic:cNvPicPr/>
                  </pic:nvPicPr>
                  <pic:blipFill>
                    <a:blip r:embed="rId31" cstate="email">
                      <a:extLst>
                        <a:ext uri="{28A0092B-C50C-407E-A947-70E740481C1C}">
                          <a14:useLocalDpi xmlns:a14="http://schemas.microsoft.com/office/drawing/2010/main"/>
                        </a:ext>
                      </a:extLst>
                    </a:blip>
                    <a:stretch>
                      <a:fillRect/>
                    </a:stretch>
                  </pic:blipFill>
                  <pic:spPr>
                    <a:xfrm>
                      <a:off x="0" y="0"/>
                      <a:ext cx="1207742" cy="2484000"/>
                    </a:xfrm>
                    <a:prstGeom prst="rect">
                      <a:avLst/>
                    </a:prstGeom>
                  </pic:spPr>
                </pic:pic>
              </a:graphicData>
            </a:graphic>
          </wp:inline>
        </w:drawing>
      </w:r>
      <w:r>
        <w:rPr>
          <w:noProof/>
          <w:snapToGrid/>
          <w:lang w:val="en-US" w:eastAsia="en-US"/>
        </w:rPr>
        <w:drawing>
          <wp:inline distT="0" distB="0" distL="0" distR="0" wp14:anchorId="0902BB1D" wp14:editId="48D10DE5">
            <wp:extent cx="1192832" cy="2448000"/>
            <wp:effectExtent l="0" t="0" r="762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RCP-AM_Chest PA_organs.png"/>
                    <pic:cNvPicPr/>
                  </pic:nvPicPr>
                  <pic:blipFill>
                    <a:blip r:embed="rId32" cstate="email">
                      <a:extLst>
                        <a:ext uri="{28A0092B-C50C-407E-A947-70E740481C1C}">
                          <a14:useLocalDpi xmlns:a14="http://schemas.microsoft.com/office/drawing/2010/main"/>
                        </a:ext>
                      </a:extLst>
                    </a:blip>
                    <a:stretch>
                      <a:fillRect/>
                    </a:stretch>
                  </pic:blipFill>
                  <pic:spPr>
                    <a:xfrm>
                      <a:off x="0" y="0"/>
                      <a:ext cx="1192832" cy="2448000"/>
                    </a:xfrm>
                    <a:prstGeom prst="rect">
                      <a:avLst/>
                    </a:prstGeom>
                  </pic:spPr>
                </pic:pic>
              </a:graphicData>
            </a:graphic>
          </wp:inline>
        </w:drawing>
      </w:r>
      <w:r>
        <w:rPr>
          <w:noProof/>
          <w:snapToGrid/>
          <w:lang w:val="en-US" w:eastAsia="en-US"/>
        </w:rPr>
        <w:drawing>
          <wp:inline distT="0" distB="0" distL="0" distR="0" wp14:anchorId="170ED32D" wp14:editId="2EC815AE">
            <wp:extent cx="1222097" cy="2376000"/>
            <wp:effectExtent l="0" t="0" r="0" b="571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RCP-AF_Chest PA.png"/>
                    <pic:cNvPicPr/>
                  </pic:nvPicPr>
                  <pic:blipFill>
                    <a:blip r:embed="rId33" cstate="email">
                      <a:extLst>
                        <a:ext uri="{28A0092B-C50C-407E-A947-70E740481C1C}">
                          <a14:useLocalDpi xmlns:a14="http://schemas.microsoft.com/office/drawing/2010/main"/>
                        </a:ext>
                      </a:extLst>
                    </a:blip>
                    <a:stretch>
                      <a:fillRect/>
                    </a:stretch>
                  </pic:blipFill>
                  <pic:spPr>
                    <a:xfrm>
                      <a:off x="0" y="0"/>
                      <a:ext cx="1222097" cy="2376000"/>
                    </a:xfrm>
                    <a:prstGeom prst="rect">
                      <a:avLst/>
                    </a:prstGeom>
                  </pic:spPr>
                </pic:pic>
              </a:graphicData>
            </a:graphic>
          </wp:inline>
        </w:drawing>
      </w:r>
      <w:r>
        <w:rPr>
          <w:noProof/>
          <w:snapToGrid/>
          <w:lang w:val="en-US" w:eastAsia="en-US"/>
        </w:rPr>
        <w:drawing>
          <wp:inline distT="0" distB="0" distL="0" distR="0" wp14:anchorId="4CF46DC1" wp14:editId="58237222">
            <wp:extent cx="1147007" cy="2340000"/>
            <wp:effectExtent l="0" t="0" r="0" b="317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RCP-AF_Chest PA_organs.png"/>
                    <pic:cNvPicPr/>
                  </pic:nvPicPr>
                  <pic:blipFill>
                    <a:blip r:embed="rId34" cstate="email">
                      <a:extLst>
                        <a:ext uri="{28A0092B-C50C-407E-A947-70E740481C1C}">
                          <a14:useLocalDpi xmlns:a14="http://schemas.microsoft.com/office/drawing/2010/main"/>
                        </a:ext>
                      </a:extLst>
                    </a:blip>
                    <a:stretch>
                      <a:fillRect/>
                    </a:stretch>
                  </pic:blipFill>
                  <pic:spPr>
                    <a:xfrm>
                      <a:off x="0" y="0"/>
                      <a:ext cx="1147007" cy="2340000"/>
                    </a:xfrm>
                    <a:prstGeom prst="rect">
                      <a:avLst/>
                    </a:prstGeom>
                  </pic:spPr>
                </pic:pic>
              </a:graphicData>
            </a:graphic>
          </wp:inline>
        </w:drawing>
      </w:r>
    </w:p>
    <w:p w14:paraId="6A6FC26D" w14:textId="77777777" w:rsidR="00E72CA9" w:rsidRDefault="00D516E3">
      <w:pPr>
        <w:pStyle w:val="Annaddtxt"/>
        <w:tabs>
          <w:tab w:val="clear" w:pos="646"/>
          <w:tab w:val="left" w:pos="851"/>
        </w:tabs>
        <w:rPr>
          <w:sz w:val="20"/>
        </w:rPr>
      </w:pPr>
      <w:r>
        <w:t xml:space="preserve">                                      </w:t>
      </w:r>
      <w:r>
        <w:rPr>
          <w:sz w:val="20"/>
        </w:rPr>
        <w:t>Adult male                                                        Adult female</w:t>
      </w:r>
    </w:p>
    <w:p w14:paraId="5C82CC34" w14:textId="77777777" w:rsidR="00E72CA9" w:rsidRDefault="00D516E3">
      <w:pPr>
        <w:spacing w:before="60"/>
        <w:jc w:val="both"/>
        <w:rPr>
          <w:sz w:val="22"/>
        </w:rPr>
      </w:pPr>
      <w:bookmarkStart w:id="203" w:name="_Hlk158714686"/>
      <w:r>
        <w:rPr>
          <w:sz w:val="22"/>
        </w:rPr>
        <w:t>Fig. B.1. Coronal images at the centre of the adult male and female phantoms showing the anatomical landmarks for chest posterior-anterior examination.</w:t>
      </w:r>
      <w:bookmarkEnd w:id="202"/>
      <w:r>
        <w:rPr>
          <w:sz w:val="22"/>
        </w:rPr>
        <w:t xml:space="preserve"> Left to right: the first image shows only the skeletal landmarks and the second image adds the organs of interest.</w:t>
      </w:r>
    </w:p>
    <w:bookmarkEnd w:id="203"/>
    <w:p w14:paraId="20E0C35B" w14:textId="77777777" w:rsidR="00E72CA9" w:rsidRDefault="00D516E3">
      <w:pPr>
        <w:pStyle w:val="ICRPannexheading3"/>
        <w:ind w:left="720"/>
      </w:pPr>
      <w:r>
        <w:t>Chest lateral (Lat)</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22B30E5A" w14:textId="77777777">
        <w:tc>
          <w:tcPr>
            <w:tcW w:w="3330" w:type="dxa"/>
            <w:shd w:val="clear" w:color="auto" w:fill="auto"/>
          </w:tcPr>
          <w:p w14:paraId="69B33314"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1ABB68E0" w14:textId="77777777" w:rsidR="00E72CA9" w:rsidRDefault="00D516E3">
            <w:pPr>
              <w:pStyle w:val="Annalstext"/>
              <w:tabs>
                <w:tab w:val="clear" w:pos="502"/>
              </w:tabs>
              <w:ind w:left="0" w:firstLine="0"/>
              <w:rPr>
                <w:bCs/>
                <w:snapToGrid/>
                <w:sz w:val="20"/>
                <w:lang w:val="en-US"/>
              </w:rPr>
            </w:pPr>
            <w:r>
              <w:rPr>
                <w:bCs/>
                <w:snapToGrid/>
                <w:sz w:val="20"/>
                <w:lang w:val="en-US"/>
              </w:rPr>
              <w:t xml:space="preserve">Extends from ca. 1 cm above clavicles and scapulae, down to lateral bottom of the rib cage (10th rib, </w:t>
            </w:r>
            <w:proofErr w:type="spellStart"/>
            <w:r>
              <w:rPr>
                <w:bCs/>
                <w:snapToGrid/>
                <w:sz w:val="20"/>
                <w:lang w:val="en-US"/>
              </w:rPr>
              <w:t>costo</w:t>
            </w:r>
            <w:proofErr w:type="spellEnd"/>
            <w:r>
              <w:rPr>
                <w:bCs/>
                <w:snapToGrid/>
                <w:sz w:val="20"/>
                <w:lang w:val="en-US"/>
              </w:rPr>
              <w:t>-phrenic angles)</w:t>
            </w:r>
          </w:p>
        </w:tc>
      </w:tr>
      <w:tr w:rsidR="00E72CA9" w14:paraId="775B0FE9" w14:textId="77777777">
        <w:tc>
          <w:tcPr>
            <w:tcW w:w="3330" w:type="dxa"/>
            <w:shd w:val="clear" w:color="auto" w:fill="auto"/>
          </w:tcPr>
          <w:p w14:paraId="4A3A5648"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3B0CDBDA" w14:textId="77777777" w:rsidR="00E72CA9" w:rsidRDefault="00D516E3">
            <w:pPr>
              <w:pStyle w:val="Annalstext"/>
              <w:tabs>
                <w:tab w:val="clear" w:pos="502"/>
              </w:tabs>
              <w:ind w:left="0" w:firstLine="0"/>
              <w:rPr>
                <w:bCs/>
                <w:snapToGrid/>
                <w:sz w:val="20"/>
                <w:lang w:val="en-US"/>
              </w:rPr>
            </w:pPr>
            <w:r>
              <w:rPr>
                <w:bCs/>
                <w:snapToGrid/>
                <w:sz w:val="20"/>
                <w:lang w:val="en-US"/>
              </w:rPr>
              <w:t>Should include at least skin margins (in non-obese reference phantoms)</w:t>
            </w:r>
          </w:p>
        </w:tc>
      </w:tr>
      <w:tr w:rsidR="00E72CA9" w14:paraId="0CA44C93" w14:textId="77777777">
        <w:tc>
          <w:tcPr>
            <w:tcW w:w="3330" w:type="dxa"/>
            <w:shd w:val="clear" w:color="auto" w:fill="auto"/>
          </w:tcPr>
          <w:p w14:paraId="7B7E560D"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38B82D08" w14:textId="77777777" w:rsidR="00E72CA9" w:rsidRDefault="00D516E3">
            <w:pPr>
              <w:pStyle w:val="Annalstext"/>
              <w:tabs>
                <w:tab w:val="clear" w:pos="502"/>
              </w:tabs>
              <w:ind w:left="0" w:firstLine="0"/>
              <w:rPr>
                <w:bCs/>
                <w:snapToGrid/>
                <w:sz w:val="20"/>
                <w:lang w:val="en-US"/>
              </w:rPr>
            </w:pPr>
            <w:r>
              <w:rPr>
                <w:bCs/>
                <w:snapToGrid/>
                <w:sz w:val="20"/>
                <w:lang w:val="en-US"/>
              </w:rPr>
              <w:t>100 cm</w:t>
            </w:r>
          </w:p>
        </w:tc>
      </w:tr>
      <w:tr w:rsidR="00E72CA9" w14:paraId="01242C35" w14:textId="77777777">
        <w:tc>
          <w:tcPr>
            <w:tcW w:w="3330" w:type="dxa"/>
            <w:shd w:val="clear" w:color="auto" w:fill="auto"/>
          </w:tcPr>
          <w:p w14:paraId="161A4D84"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0A1C7794"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63C08CA6"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62DE6734" wp14:editId="092A2277">
            <wp:extent cx="934413" cy="2376000"/>
            <wp:effectExtent l="0" t="0" r="0" b="5715"/>
            <wp:docPr id="6519728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CP-AM_Chest LAT_no-organs.png"/>
                    <pic:cNvPicPr/>
                  </pic:nvPicPr>
                  <pic:blipFill>
                    <a:blip r:embed="rId35" cstate="email">
                      <a:extLst>
                        <a:ext uri="{28A0092B-C50C-407E-A947-70E740481C1C}">
                          <a14:useLocalDpi xmlns:a14="http://schemas.microsoft.com/office/drawing/2010/main"/>
                        </a:ext>
                      </a:extLst>
                    </a:blip>
                    <a:stretch>
                      <a:fillRect/>
                    </a:stretch>
                  </pic:blipFill>
                  <pic:spPr>
                    <a:xfrm>
                      <a:off x="0" y="0"/>
                      <a:ext cx="934413" cy="2376000"/>
                    </a:xfrm>
                    <a:prstGeom prst="rect">
                      <a:avLst/>
                    </a:prstGeom>
                  </pic:spPr>
                </pic:pic>
              </a:graphicData>
            </a:graphic>
          </wp:inline>
        </w:drawing>
      </w:r>
      <w:r>
        <w:rPr>
          <w:noProof/>
          <w:snapToGrid/>
          <w:lang w:val="en-US" w:eastAsia="en-US"/>
        </w:rPr>
        <w:drawing>
          <wp:inline distT="0" distB="0" distL="0" distR="0" wp14:anchorId="3078EA46" wp14:editId="29C05E5E">
            <wp:extent cx="885500" cy="2376000"/>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CP-AM_Chest LAT.png"/>
                    <pic:cNvPicPr/>
                  </pic:nvPicPr>
                  <pic:blipFill>
                    <a:blip r:embed="rId36" cstate="email">
                      <a:extLst>
                        <a:ext uri="{28A0092B-C50C-407E-A947-70E740481C1C}">
                          <a14:useLocalDpi xmlns:a14="http://schemas.microsoft.com/office/drawing/2010/main"/>
                        </a:ext>
                      </a:extLst>
                    </a:blip>
                    <a:stretch>
                      <a:fillRect/>
                    </a:stretch>
                  </pic:blipFill>
                  <pic:spPr>
                    <a:xfrm>
                      <a:off x="0" y="0"/>
                      <a:ext cx="885500" cy="2376000"/>
                    </a:xfrm>
                    <a:prstGeom prst="rect">
                      <a:avLst/>
                    </a:prstGeom>
                  </pic:spPr>
                </pic:pic>
              </a:graphicData>
            </a:graphic>
          </wp:inline>
        </w:drawing>
      </w:r>
      <w:r>
        <w:rPr>
          <w:noProof/>
          <w:snapToGrid/>
          <w:lang w:val="en-US" w:eastAsia="en-US"/>
        </w:rPr>
        <w:drawing>
          <wp:inline distT="0" distB="0" distL="0" distR="0" wp14:anchorId="53F0F4F1" wp14:editId="5DF1B59D">
            <wp:extent cx="760384" cy="2268000"/>
            <wp:effectExtent l="0" t="0" r="1905" b="0"/>
            <wp:docPr id="4727434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CP-AF_Chest LAT_no-organs.png"/>
                    <pic:cNvPicPr/>
                  </pic:nvPicPr>
                  <pic:blipFill>
                    <a:blip r:embed="rId37" cstate="email">
                      <a:extLst>
                        <a:ext uri="{28A0092B-C50C-407E-A947-70E740481C1C}">
                          <a14:useLocalDpi xmlns:a14="http://schemas.microsoft.com/office/drawing/2010/main"/>
                        </a:ext>
                      </a:extLst>
                    </a:blip>
                    <a:stretch>
                      <a:fillRect/>
                    </a:stretch>
                  </pic:blipFill>
                  <pic:spPr>
                    <a:xfrm>
                      <a:off x="0" y="0"/>
                      <a:ext cx="760384" cy="2268000"/>
                    </a:xfrm>
                    <a:prstGeom prst="rect">
                      <a:avLst/>
                    </a:prstGeom>
                  </pic:spPr>
                </pic:pic>
              </a:graphicData>
            </a:graphic>
          </wp:inline>
        </w:drawing>
      </w:r>
      <w:r>
        <w:rPr>
          <w:noProof/>
          <w:snapToGrid/>
          <w:lang w:val="en-US" w:eastAsia="en-US"/>
        </w:rPr>
        <w:drawing>
          <wp:inline distT="0" distB="0" distL="0" distR="0" wp14:anchorId="1CD12FBD" wp14:editId="20212820">
            <wp:extent cx="758623" cy="22320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CP-AF_Chest LAT.png"/>
                    <pic:cNvPicPr/>
                  </pic:nvPicPr>
                  <pic:blipFill>
                    <a:blip r:embed="rId38" cstate="email">
                      <a:extLst>
                        <a:ext uri="{28A0092B-C50C-407E-A947-70E740481C1C}">
                          <a14:useLocalDpi xmlns:a14="http://schemas.microsoft.com/office/drawing/2010/main"/>
                        </a:ext>
                      </a:extLst>
                    </a:blip>
                    <a:stretch>
                      <a:fillRect/>
                    </a:stretch>
                  </pic:blipFill>
                  <pic:spPr>
                    <a:xfrm>
                      <a:off x="0" y="0"/>
                      <a:ext cx="758623" cy="2232000"/>
                    </a:xfrm>
                    <a:prstGeom prst="rect">
                      <a:avLst/>
                    </a:prstGeom>
                  </pic:spPr>
                </pic:pic>
              </a:graphicData>
            </a:graphic>
          </wp:inline>
        </w:drawing>
      </w:r>
    </w:p>
    <w:p w14:paraId="6CE09A43" w14:textId="77777777" w:rsidR="00E72CA9" w:rsidRDefault="00D516E3">
      <w:pPr>
        <w:pStyle w:val="Annaddtxt"/>
        <w:tabs>
          <w:tab w:val="clear" w:pos="646"/>
          <w:tab w:val="left" w:pos="851"/>
        </w:tabs>
        <w:rPr>
          <w:sz w:val="20"/>
        </w:rPr>
      </w:pPr>
      <w:r>
        <w:tab/>
      </w:r>
      <w:r>
        <w:tab/>
      </w:r>
      <w:r>
        <w:tab/>
        <w:t xml:space="preserve">    </w:t>
      </w:r>
      <w:r>
        <w:rPr>
          <w:sz w:val="20"/>
        </w:rPr>
        <w:t xml:space="preserve">            Adult male                               Adult female</w:t>
      </w:r>
    </w:p>
    <w:p w14:paraId="7F8AFF76" w14:textId="77777777" w:rsidR="00E72CA9" w:rsidRDefault="00D516E3">
      <w:pPr>
        <w:spacing w:before="60"/>
        <w:jc w:val="both"/>
        <w:rPr>
          <w:szCs w:val="24"/>
        </w:rPr>
      </w:pPr>
      <w:r>
        <w:rPr>
          <w:sz w:val="22"/>
        </w:rPr>
        <w:t xml:space="preserve">Fig. B.2. </w:t>
      </w:r>
      <w:proofErr w:type="spellStart"/>
      <w:r>
        <w:rPr>
          <w:sz w:val="22"/>
        </w:rPr>
        <w:t>Sagital</w:t>
      </w:r>
      <w:proofErr w:type="spellEnd"/>
      <w:r>
        <w:rPr>
          <w:sz w:val="22"/>
        </w:rPr>
        <w:t xml:space="preserve"> images at the centre of the adult male and female phantoms showing the anatomical landmarks for chest lateral examination. Left to right: the first image shows only the skeletal landmarks and the second image adds the organs of interest.</w:t>
      </w:r>
    </w:p>
    <w:p w14:paraId="12774D47" w14:textId="77777777" w:rsidR="00E72CA9" w:rsidRDefault="00D516E3">
      <w:pPr>
        <w:pStyle w:val="ICRPannexheading3"/>
        <w:ind w:left="720"/>
      </w:pPr>
      <w:r>
        <w:lastRenderedPageBreak/>
        <w:t>Chest anterior-posterior (AP)</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02A842DF" w14:textId="77777777">
        <w:tc>
          <w:tcPr>
            <w:tcW w:w="3330" w:type="dxa"/>
            <w:shd w:val="clear" w:color="auto" w:fill="auto"/>
          </w:tcPr>
          <w:p w14:paraId="05DC5691"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70F1ADDF" w14:textId="77777777" w:rsidR="00E72CA9" w:rsidRDefault="00D516E3">
            <w:pPr>
              <w:pStyle w:val="Annalstext"/>
              <w:tabs>
                <w:tab w:val="clear" w:pos="502"/>
              </w:tabs>
              <w:ind w:left="0" w:firstLine="0"/>
              <w:rPr>
                <w:bCs/>
                <w:snapToGrid/>
                <w:sz w:val="20"/>
                <w:lang w:val="en-US"/>
              </w:rPr>
            </w:pPr>
            <w:r>
              <w:rPr>
                <w:bCs/>
                <w:snapToGrid/>
                <w:sz w:val="20"/>
                <w:lang w:val="en-US"/>
              </w:rPr>
              <w:t xml:space="preserve">Extends from ca. 1 cm above clavicles and scapulae, down to lateral bottom of the rib cage (10th rib, </w:t>
            </w:r>
            <w:proofErr w:type="spellStart"/>
            <w:r>
              <w:rPr>
                <w:bCs/>
                <w:snapToGrid/>
                <w:sz w:val="20"/>
                <w:lang w:val="en-US"/>
              </w:rPr>
              <w:t>costo</w:t>
            </w:r>
            <w:proofErr w:type="spellEnd"/>
            <w:r>
              <w:rPr>
                <w:bCs/>
                <w:snapToGrid/>
                <w:sz w:val="20"/>
                <w:lang w:val="en-US"/>
              </w:rPr>
              <w:t>-phrenic angles)</w:t>
            </w:r>
          </w:p>
        </w:tc>
      </w:tr>
      <w:tr w:rsidR="00E72CA9" w14:paraId="58FF65E8" w14:textId="77777777">
        <w:tc>
          <w:tcPr>
            <w:tcW w:w="3330" w:type="dxa"/>
            <w:shd w:val="clear" w:color="auto" w:fill="auto"/>
          </w:tcPr>
          <w:p w14:paraId="0C1A060F"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5D6724E6" w14:textId="77777777" w:rsidR="00E72CA9" w:rsidRDefault="00D516E3">
            <w:pPr>
              <w:pStyle w:val="Annalstext"/>
              <w:tabs>
                <w:tab w:val="clear" w:pos="502"/>
              </w:tabs>
              <w:ind w:left="0" w:firstLine="0"/>
              <w:rPr>
                <w:bCs/>
                <w:snapToGrid/>
                <w:sz w:val="20"/>
                <w:lang w:val="en-US"/>
              </w:rPr>
            </w:pPr>
            <w:r>
              <w:rPr>
                <w:bCs/>
                <w:snapToGrid/>
                <w:sz w:val="20"/>
                <w:lang w:val="en-US"/>
              </w:rPr>
              <w:t>Includes at least skin margins (in non-obese reference phantoms) and medial part (half) of the humeral head</w:t>
            </w:r>
          </w:p>
        </w:tc>
      </w:tr>
      <w:tr w:rsidR="00E72CA9" w14:paraId="05F25E43" w14:textId="77777777">
        <w:tc>
          <w:tcPr>
            <w:tcW w:w="3330" w:type="dxa"/>
            <w:shd w:val="clear" w:color="auto" w:fill="auto"/>
          </w:tcPr>
          <w:p w14:paraId="58F56872" w14:textId="77777777" w:rsidR="00E72CA9" w:rsidRDefault="00D516E3">
            <w:pPr>
              <w:pStyle w:val="Annalstext"/>
              <w:tabs>
                <w:tab w:val="clear" w:pos="502"/>
              </w:tabs>
              <w:ind w:left="0" w:firstLine="0"/>
              <w:rPr>
                <w:bCs/>
                <w:snapToGrid/>
                <w:sz w:val="20"/>
                <w:lang w:val="en-US"/>
              </w:rPr>
            </w:pPr>
            <w:r>
              <w:rPr>
                <w:bCs/>
                <w:snapToGrid/>
                <w:sz w:val="20"/>
                <w:lang w:val="en-US"/>
              </w:rPr>
              <w:t>Focus to skin distance, FSD:</w:t>
            </w:r>
          </w:p>
        </w:tc>
        <w:tc>
          <w:tcPr>
            <w:tcW w:w="5827" w:type="dxa"/>
            <w:shd w:val="clear" w:color="auto" w:fill="auto"/>
          </w:tcPr>
          <w:p w14:paraId="59B4BE38" w14:textId="77777777" w:rsidR="00E72CA9" w:rsidRDefault="00D516E3">
            <w:pPr>
              <w:pStyle w:val="Annalstext"/>
              <w:tabs>
                <w:tab w:val="clear" w:pos="502"/>
              </w:tabs>
              <w:ind w:left="0" w:firstLine="0"/>
              <w:rPr>
                <w:bCs/>
                <w:snapToGrid/>
                <w:sz w:val="20"/>
                <w:lang w:val="en-US"/>
              </w:rPr>
            </w:pPr>
            <w:r>
              <w:rPr>
                <w:bCs/>
                <w:snapToGrid/>
                <w:sz w:val="20"/>
                <w:lang w:val="en-US"/>
              </w:rPr>
              <w:t>100 cm</w:t>
            </w:r>
          </w:p>
        </w:tc>
      </w:tr>
      <w:tr w:rsidR="00E72CA9" w14:paraId="1BA74F15" w14:textId="77777777">
        <w:tc>
          <w:tcPr>
            <w:tcW w:w="3330" w:type="dxa"/>
            <w:shd w:val="clear" w:color="auto" w:fill="auto"/>
          </w:tcPr>
          <w:p w14:paraId="3E16E3BE"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0F2BBABB"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7C91A67A" w14:textId="77777777" w:rsidR="00E72CA9" w:rsidRDefault="00D516E3">
      <w:pPr>
        <w:pStyle w:val="Annaddtxt"/>
        <w:tabs>
          <w:tab w:val="clear" w:pos="646"/>
          <w:tab w:val="left" w:pos="851"/>
        </w:tabs>
        <w:spacing w:before="120"/>
      </w:pPr>
      <w:r>
        <w:rPr>
          <w:noProof/>
          <w:snapToGrid/>
          <w:lang w:val="en-US" w:eastAsia="en-US"/>
        </w:rPr>
        <w:t xml:space="preserve"> </w:t>
      </w:r>
      <w:r>
        <w:rPr>
          <w:noProof/>
          <w:snapToGrid/>
          <w:lang w:val="en-US" w:eastAsia="en-US"/>
        </w:rPr>
        <w:drawing>
          <wp:inline distT="0" distB="0" distL="0" distR="0" wp14:anchorId="330D0B86" wp14:editId="167FDA7D">
            <wp:extent cx="1377926" cy="2268000"/>
            <wp:effectExtent l="0" t="0" r="0" b="0"/>
            <wp:docPr id="149901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CP-AM_Chest AP.png"/>
                    <pic:cNvPicPr/>
                  </pic:nvPicPr>
                  <pic:blipFill>
                    <a:blip r:embed="rId39" cstate="email">
                      <a:extLst>
                        <a:ext uri="{28A0092B-C50C-407E-A947-70E740481C1C}">
                          <a14:useLocalDpi xmlns:a14="http://schemas.microsoft.com/office/drawing/2010/main"/>
                        </a:ext>
                      </a:extLst>
                    </a:blip>
                    <a:stretch>
                      <a:fillRect/>
                    </a:stretch>
                  </pic:blipFill>
                  <pic:spPr>
                    <a:xfrm>
                      <a:off x="0" y="0"/>
                      <a:ext cx="1377926" cy="2268000"/>
                    </a:xfrm>
                    <a:prstGeom prst="rect">
                      <a:avLst/>
                    </a:prstGeom>
                  </pic:spPr>
                </pic:pic>
              </a:graphicData>
            </a:graphic>
          </wp:inline>
        </w:drawing>
      </w:r>
      <w:r>
        <w:rPr>
          <w:noProof/>
          <w:snapToGrid/>
          <w:lang w:val="en-US" w:eastAsia="en-US"/>
        </w:rPr>
        <w:drawing>
          <wp:inline distT="0" distB="0" distL="0" distR="0" wp14:anchorId="41EDB9D6" wp14:editId="57FF2B12">
            <wp:extent cx="1332000" cy="2269334"/>
            <wp:effectExtent l="0" t="0" r="1905" b="0"/>
            <wp:docPr id="9627312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CP-AM_Chest AP_organs.png"/>
                    <pic:cNvPicPr/>
                  </pic:nvPicPr>
                  <pic:blipFill>
                    <a:blip r:embed="rId40" cstate="email">
                      <a:extLst>
                        <a:ext uri="{28A0092B-C50C-407E-A947-70E740481C1C}">
                          <a14:useLocalDpi xmlns:a14="http://schemas.microsoft.com/office/drawing/2010/main"/>
                        </a:ext>
                      </a:extLst>
                    </a:blip>
                    <a:stretch>
                      <a:fillRect/>
                    </a:stretch>
                  </pic:blipFill>
                  <pic:spPr>
                    <a:xfrm>
                      <a:off x="0" y="0"/>
                      <a:ext cx="1332000" cy="2269334"/>
                    </a:xfrm>
                    <a:prstGeom prst="rect">
                      <a:avLst/>
                    </a:prstGeom>
                  </pic:spPr>
                </pic:pic>
              </a:graphicData>
            </a:graphic>
          </wp:inline>
        </w:drawing>
      </w:r>
      <w:r>
        <w:rPr>
          <w:noProof/>
          <w:snapToGrid/>
          <w:lang w:val="en-US" w:eastAsia="en-US"/>
        </w:rPr>
        <w:drawing>
          <wp:inline distT="0" distB="0" distL="0" distR="0" wp14:anchorId="732433B1" wp14:editId="4EE00B8E">
            <wp:extent cx="1447771" cy="2268000"/>
            <wp:effectExtent l="0" t="0" r="635" b="0"/>
            <wp:docPr id="5889646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CP-AF_Chest AP.png"/>
                    <pic:cNvPicPr/>
                  </pic:nvPicPr>
                  <pic:blipFill>
                    <a:blip r:embed="rId41" cstate="email">
                      <a:extLst>
                        <a:ext uri="{28A0092B-C50C-407E-A947-70E740481C1C}">
                          <a14:useLocalDpi xmlns:a14="http://schemas.microsoft.com/office/drawing/2010/main"/>
                        </a:ext>
                      </a:extLst>
                    </a:blip>
                    <a:stretch>
                      <a:fillRect/>
                    </a:stretch>
                  </pic:blipFill>
                  <pic:spPr>
                    <a:xfrm>
                      <a:off x="0" y="0"/>
                      <a:ext cx="1447771" cy="2268000"/>
                    </a:xfrm>
                    <a:prstGeom prst="rect">
                      <a:avLst/>
                    </a:prstGeom>
                  </pic:spPr>
                </pic:pic>
              </a:graphicData>
            </a:graphic>
          </wp:inline>
        </w:drawing>
      </w:r>
      <w:r>
        <w:rPr>
          <w:noProof/>
          <w:snapToGrid/>
          <w:lang w:val="en-US" w:eastAsia="en-US"/>
        </w:rPr>
        <w:drawing>
          <wp:inline distT="0" distB="0" distL="0" distR="0" wp14:anchorId="042822FA" wp14:editId="12D282E0">
            <wp:extent cx="1400900" cy="2268000"/>
            <wp:effectExtent l="0" t="0" r="8890" b="0"/>
            <wp:docPr id="16736328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CP-AF_Chest AP_organs.png"/>
                    <pic:cNvPicPr/>
                  </pic:nvPicPr>
                  <pic:blipFill>
                    <a:blip r:embed="rId42" cstate="email">
                      <a:extLst>
                        <a:ext uri="{28A0092B-C50C-407E-A947-70E740481C1C}">
                          <a14:useLocalDpi xmlns:a14="http://schemas.microsoft.com/office/drawing/2010/main"/>
                        </a:ext>
                      </a:extLst>
                    </a:blip>
                    <a:stretch>
                      <a:fillRect/>
                    </a:stretch>
                  </pic:blipFill>
                  <pic:spPr>
                    <a:xfrm>
                      <a:off x="0" y="0"/>
                      <a:ext cx="1400900" cy="2268000"/>
                    </a:xfrm>
                    <a:prstGeom prst="rect">
                      <a:avLst/>
                    </a:prstGeom>
                  </pic:spPr>
                </pic:pic>
              </a:graphicData>
            </a:graphic>
          </wp:inline>
        </w:drawing>
      </w:r>
    </w:p>
    <w:p w14:paraId="7AAC8BF4" w14:textId="77777777" w:rsidR="00E72CA9" w:rsidRDefault="00D516E3">
      <w:pPr>
        <w:pStyle w:val="Annaddtxt"/>
        <w:tabs>
          <w:tab w:val="clear" w:pos="646"/>
          <w:tab w:val="left" w:pos="851"/>
        </w:tabs>
        <w:rPr>
          <w:sz w:val="20"/>
        </w:rPr>
      </w:pPr>
      <w:r>
        <w:rPr>
          <w:sz w:val="20"/>
        </w:rPr>
        <w:t xml:space="preserve">                                  Adult male                                                                     Adult female</w:t>
      </w:r>
    </w:p>
    <w:p w14:paraId="488216BC" w14:textId="77777777" w:rsidR="00E72CA9" w:rsidRDefault="00D516E3">
      <w:pPr>
        <w:spacing w:before="120"/>
        <w:jc w:val="both"/>
        <w:rPr>
          <w:szCs w:val="24"/>
        </w:rPr>
      </w:pPr>
      <w:r>
        <w:rPr>
          <w:sz w:val="22"/>
        </w:rPr>
        <w:t>Fig. B.3. Coronal images at the centre of the adult male and female phantoms showing the anatomical landmarks for chest anterior-posterior examination. Left to right: the first image shows only the skeletal landmarks and the second image adds the organs of interest.</w:t>
      </w:r>
    </w:p>
    <w:p w14:paraId="41AF1751" w14:textId="77777777" w:rsidR="00E72CA9" w:rsidRDefault="00D516E3">
      <w:pPr>
        <w:pStyle w:val="ICRPannexheading3"/>
        <w:ind w:left="720"/>
      </w:pPr>
      <w:r>
        <w:t>Pelvis anterior-posterior (AP)</w:t>
      </w:r>
    </w:p>
    <w:tbl>
      <w:tblPr>
        <w:tblW w:w="0" w:type="auto"/>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686"/>
      </w:tblGrid>
      <w:tr w:rsidR="00E72CA9" w14:paraId="32FCDC45" w14:textId="77777777">
        <w:tc>
          <w:tcPr>
            <w:tcW w:w="3330" w:type="dxa"/>
            <w:shd w:val="clear" w:color="auto" w:fill="auto"/>
          </w:tcPr>
          <w:p w14:paraId="751E6347"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686" w:type="dxa"/>
            <w:shd w:val="clear" w:color="auto" w:fill="auto"/>
          </w:tcPr>
          <w:p w14:paraId="29D3875E" w14:textId="77777777" w:rsidR="00E72CA9" w:rsidRDefault="00D516E3">
            <w:pPr>
              <w:pStyle w:val="Annalstext"/>
              <w:tabs>
                <w:tab w:val="clear" w:pos="502"/>
              </w:tabs>
              <w:ind w:left="0" w:firstLine="0"/>
              <w:rPr>
                <w:bCs/>
                <w:snapToGrid/>
                <w:sz w:val="20"/>
                <w:lang w:val="en-US"/>
              </w:rPr>
            </w:pPr>
            <w:r>
              <w:rPr>
                <w:bCs/>
                <w:snapToGrid/>
                <w:sz w:val="20"/>
                <w:lang w:val="en-US"/>
              </w:rPr>
              <w:t>From 3 cm above iliac crest down to lesser trochanter</w:t>
            </w:r>
          </w:p>
        </w:tc>
      </w:tr>
      <w:tr w:rsidR="00E72CA9" w14:paraId="6B825768" w14:textId="77777777">
        <w:tc>
          <w:tcPr>
            <w:tcW w:w="3330" w:type="dxa"/>
            <w:shd w:val="clear" w:color="auto" w:fill="auto"/>
          </w:tcPr>
          <w:p w14:paraId="299B029B"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686" w:type="dxa"/>
            <w:shd w:val="clear" w:color="auto" w:fill="auto"/>
          </w:tcPr>
          <w:p w14:paraId="3ABFCF59" w14:textId="77777777" w:rsidR="00E72CA9" w:rsidRDefault="00D516E3">
            <w:pPr>
              <w:pStyle w:val="Annalstext"/>
              <w:tabs>
                <w:tab w:val="clear" w:pos="502"/>
              </w:tabs>
              <w:ind w:left="0" w:firstLine="0"/>
              <w:rPr>
                <w:bCs/>
                <w:snapToGrid/>
                <w:sz w:val="20"/>
                <w:lang w:val="en-US"/>
              </w:rPr>
            </w:pPr>
            <w:r>
              <w:rPr>
                <w:bCs/>
                <w:snapToGrid/>
                <w:sz w:val="20"/>
                <w:lang w:val="en-US"/>
              </w:rPr>
              <w:t>Should include the hips</w:t>
            </w:r>
          </w:p>
        </w:tc>
      </w:tr>
      <w:tr w:rsidR="00E72CA9" w14:paraId="14AD3B80" w14:textId="77777777">
        <w:tc>
          <w:tcPr>
            <w:tcW w:w="3330" w:type="dxa"/>
            <w:shd w:val="clear" w:color="auto" w:fill="auto"/>
          </w:tcPr>
          <w:p w14:paraId="026014F7"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686" w:type="dxa"/>
            <w:shd w:val="clear" w:color="auto" w:fill="auto"/>
          </w:tcPr>
          <w:p w14:paraId="3B10F5AA" w14:textId="77777777" w:rsidR="00E72CA9" w:rsidRDefault="00D516E3">
            <w:pPr>
              <w:pStyle w:val="Annalstext"/>
              <w:tabs>
                <w:tab w:val="clear" w:pos="502"/>
              </w:tabs>
              <w:ind w:left="0" w:firstLine="0"/>
              <w:rPr>
                <w:bCs/>
                <w:snapToGrid/>
                <w:sz w:val="20"/>
                <w:lang w:val="en-US"/>
              </w:rPr>
            </w:pPr>
            <w:r>
              <w:rPr>
                <w:bCs/>
                <w:snapToGrid/>
                <w:sz w:val="20"/>
                <w:lang w:val="en-US"/>
              </w:rPr>
              <w:t>115 cm</w:t>
            </w:r>
          </w:p>
        </w:tc>
      </w:tr>
      <w:tr w:rsidR="00E72CA9" w14:paraId="7B567318" w14:textId="77777777">
        <w:tc>
          <w:tcPr>
            <w:tcW w:w="3330" w:type="dxa"/>
            <w:shd w:val="clear" w:color="auto" w:fill="auto"/>
          </w:tcPr>
          <w:p w14:paraId="54D06594"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686" w:type="dxa"/>
            <w:shd w:val="clear" w:color="auto" w:fill="auto"/>
          </w:tcPr>
          <w:p w14:paraId="59D5D4ED"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3E8A483E" w14:textId="77777777" w:rsidR="00E72CA9" w:rsidRDefault="00D516E3">
      <w:pPr>
        <w:pStyle w:val="Annaddtxt"/>
        <w:tabs>
          <w:tab w:val="clear" w:pos="646"/>
          <w:tab w:val="left" w:pos="851"/>
        </w:tabs>
        <w:spacing w:before="120"/>
        <w:jc w:val="center"/>
        <w:rPr>
          <w:noProof/>
          <w:snapToGrid/>
          <w:lang w:val="en-US" w:eastAsia="en-US"/>
        </w:rPr>
      </w:pPr>
      <w:r>
        <w:rPr>
          <w:noProof/>
          <w:snapToGrid/>
          <w:lang w:val="en-US" w:eastAsia="en-US"/>
        </w:rPr>
        <w:drawing>
          <wp:inline distT="0" distB="0" distL="0" distR="0" wp14:anchorId="30F38BBD" wp14:editId="0A44ACA0">
            <wp:extent cx="1144800" cy="23904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RCP-AM_Pelvis AP.png"/>
                    <pic:cNvPicPr/>
                  </pic:nvPicPr>
                  <pic:blipFill>
                    <a:blip r:embed="rId43" cstate="email">
                      <a:extLst>
                        <a:ext uri="{28A0092B-C50C-407E-A947-70E740481C1C}">
                          <a14:useLocalDpi xmlns:a14="http://schemas.microsoft.com/office/drawing/2010/main"/>
                        </a:ext>
                      </a:extLst>
                    </a:blip>
                    <a:stretch>
                      <a:fillRect/>
                    </a:stretch>
                  </pic:blipFill>
                  <pic:spPr>
                    <a:xfrm>
                      <a:off x="0" y="0"/>
                      <a:ext cx="1144800" cy="2390400"/>
                    </a:xfrm>
                    <a:prstGeom prst="rect">
                      <a:avLst/>
                    </a:prstGeom>
                  </pic:spPr>
                </pic:pic>
              </a:graphicData>
            </a:graphic>
          </wp:inline>
        </w:drawing>
      </w:r>
      <w:r>
        <w:rPr>
          <w:noProof/>
          <w:snapToGrid/>
          <w:lang w:val="en-US" w:eastAsia="en-US"/>
        </w:rPr>
        <w:drawing>
          <wp:inline distT="0" distB="0" distL="0" distR="0" wp14:anchorId="079F3D3C" wp14:editId="02FCE8BD">
            <wp:extent cx="1130400" cy="23832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RCP-AM_Pelvis AP_organs.png"/>
                    <pic:cNvPicPr/>
                  </pic:nvPicPr>
                  <pic:blipFill>
                    <a:blip r:embed="rId44" cstate="email">
                      <a:extLst>
                        <a:ext uri="{28A0092B-C50C-407E-A947-70E740481C1C}">
                          <a14:useLocalDpi xmlns:a14="http://schemas.microsoft.com/office/drawing/2010/main"/>
                        </a:ext>
                      </a:extLst>
                    </a:blip>
                    <a:stretch>
                      <a:fillRect/>
                    </a:stretch>
                  </pic:blipFill>
                  <pic:spPr>
                    <a:xfrm>
                      <a:off x="0" y="0"/>
                      <a:ext cx="1130400" cy="2383200"/>
                    </a:xfrm>
                    <a:prstGeom prst="rect">
                      <a:avLst/>
                    </a:prstGeom>
                  </pic:spPr>
                </pic:pic>
              </a:graphicData>
            </a:graphic>
          </wp:inline>
        </w:drawing>
      </w:r>
      <w:r>
        <w:rPr>
          <w:noProof/>
          <w:snapToGrid/>
          <w:lang w:val="en-US" w:eastAsia="en-US"/>
        </w:rPr>
        <w:drawing>
          <wp:inline distT="0" distB="0" distL="0" distR="0" wp14:anchorId="3B794824" wp14:editId="36D170BC">
            <wp:extent cx="1065600" cy="2368800"/>
            <wp:effectExtent l="0" t="0" r="127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RCP-AF_Pelvis AP.png"/>
                    <pic:cNvPicPr/>
                  </pic:nvPicPr>
                  <pic:blipFill>
                    <a:blip r:embed="rId45" cstate="email">
                      <a:extLst>
                        <a:ext uri="{28A0092B-C50C-407E-A947-70E740481C1C}">
                          <a14:useLocalDpi xmlns:a14="http://schemas.microsoft.com/office/drawing/2010/main"/>
                        </a:ext>
                      </a:extLst>
                    </a:blip>
                    <a:stretch>
                      <a:fillRect/>
                    </a:stretch>
                  </pic:blipFill>
                  <pic:spPr>
                    <a:xfrm>
                      <a:off x="0" y="0"/>
                      <a:ext cx="1065600" cy="2368800"/>
                    </a:xfrm>
                    <a:prstGeom prst="rect">
                      <a:avLst/>
                    </a:prstGeom>
                  </pic:spPr>
                </pic:pic>
              </a:graphicData>
            </a:graphic>
          </wp:inline>
        </w:drawing>
      </w:r>
      <w:r>
        <w:rPr>
          <w:noProof/>
          <w:snapToGrid/>
          <w:lang w:val="en-US" w:eastAsia="en-US"/>
        </w:rPr>
        <w:drawing>
          <wp:inline distT="0" distB="0" distL="0" distR="0" wp14:anchorId="1BDEBD1B" wp14:editId="4B09825C">
            <wp:extent cx="1134000" cy="2358000"/>
            <wp:effectExtent l="0" t="0" r="9525"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RCP-AF_Pelvis AP_organs.png"/>
                    <pic:cNvPicPr/>
                  </pic:nvPicPr>
                  <pic:blipFill>
                    <a:blip r:embed="rId46" cstate="email">
                      <a:extLst>
                        <a:ext uri="{28A0092B-C50C-407E-A947-70E740481C1C}">
                          <a14:useLocalDpi xmlns:a14="http://schemas.microsoft.com/office/drawing/2010/main"/>
                        </a:ext>
                      </a:extLst>
                    </a:blip>
                    <a:stretch>
                      <a:fillRect/>
                    </a:stretch>
                  </pic:blipFill>
                  <pic:spPr>
                    <a:xfrm>
                      <a:off x="0" y="0"/>
                      <a:ext cx="1134000" cy="2358000"/>
                    </a:xfrm>
                    <a:prstGeom prst="rect">
                      <a:avLst/>
                    </a:prstGeom>
                  </pic:spPr>
                </pic:pic>
              </a:graphicData>
            </a:graphic>
          </wp:inline>
        </w:drawing>
      </w:r>
    </w:p>
    <w:p w14:paraId="5A025B59" w14:textId="77777777" w:rsidR="00E72CA9" w:rsidRDefault="00D516E3">
      <w:pPr>
        <w:pStyle w:val="Annaddtxt"/>
        <w:tabs>
          <w:tab w:val="clear" w:pos="646"/>
          <w:tab w:val="left" w:pos="851"/>
        </w:tabs>
        <w:spacing w:after="240"/>
        <w:rPr>
          <w:sz w:val="20"/>
        </w:rPr>
      </w:pPr>
      <w:r>
        <w:t xml:space="preserve">                                       </w:t>
      </w:r>
      <w:r>
        <w:rPr>
          <w:sz w:val="20"/>
        </w:rPr>
        <w:t>Adult male                                                 Adult female</w:t>
      </w:r>
    </w:p>
    <w:p w14:paraId="27774398" w14:textId="77777777" w:rsidR="00E72CA9" w:rsidRDefault="00D516E3">
      <w:pPr>
        <w:jc w:val="both"/>
        <w:rPr>
          <w:szCs w:val="24"/>
        </w:rPr>
      </w:pPr>
      <w:r>
        <w:rPr>
          <w:sz w:val="22"/>
        </w:rPr>
        <w:t>Fig. B.4. Coronal images at the centre of the adult male and female phantoms showing the anatomical landmarks for pelvis anterior-posterior examination. Left to right: the first image shows only the skeletal landmarks and the second image adds the organs of interest.</w:t>
      </w:r>
    </w:p>
    <w:p w14:paraId="2568E507" w14:textId="77777777" w:rsidR="00E72CA9" w:rsidRDefault="00D516E3">
      <w:pPr>
        <w:pStyle w:val="Annaddtxt"/>
        <w:tabs>
          <w:tab w:val="clear" w:pos="646"/>
          <w:tab w:val="left" w:pos="851"/>
        </w:tabs>
        <w:rPr>
          <w:sz w:val="22"/>
          <w:szCs w:val="22"/>
        </w:rPr>
      </w:pPr>
      <w:r>
        <w:rPr>
          <w:sz w:val="22"/>
          <w:szCs w:val="22"/>
        </w:rPr>
        <w:t xml:space="preserve"> </w:t>
      </w:r>
      <w:r>
        <w:rPr>
          <w:sz w:val="22"/>
          <w:szCs w:val="22"/>
        </w:rPr>
        <w:br w:type="page"/>
      </w:r>
    </w:p>
    <w:p w14:paraId="442709F8" w14:textId="77777777" w:rsidR="00E72CA9" w:rsidRDefault="00D516E3">
      <w:pPr>
        <w:pStyle w:val="ICRPannexheading3"/>
        <w:ind w:left="720"/>
      </w:pPr>
      <w:r>
        <w:lastRenderedPageBreak/>
        <w:t xml:space="preserve">Abdomen anterior-posterior (AP) </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449F2C38" w14:textId="77777777">
        <w:tc>
          <w:tcPr>
            <w:tcW w:w="3330" w:type="dxa"/>
            <w:shd w:val="clear" w:color="auto" w:fill="auto"/>
          </w:tcPr>
          <w:p w14:paraId="28B6536D"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75AB3863" w14:textId="77777777" w:rsidR="00E72CA9" w:rsidRDefault="00D516E3">
            <w:pPr>
              <w:pStyle w:val="Annalstext"/>
              <w:tabs>
                <w:tab w:val="clear" w:pos="502"/>
              </w:tabs>
              <w:ind w:left="0" w:firstLine="0"/>
              <w:rPr>
                <w:bCs/>
                <w:snapToGrid/>
                <w:sz w:val="20"/>
                <w:lang w:val="en-US"/>
              </w:rPr>
            </w:pPr>
            <w:r>
              <w:rPr>
                <w:bCs/>
                <w:snapToGrid/>
                <w:sz w:val="20"/>
                <w:lang w:val="en-US"/>
              </w:rPr>
              <w:t>From 1-2 cm above dome of diaphragms down to 1-2 cm below symphysis pubis</w:t>
            </w:r>
          </w:p>
        </w:tc>
      </w:tr>
      <w:tr w:rsidR="00E72CA9" w14:paraId="3351FF0F" w14:textId="77777777">
        <w:tc>
          <w:tcPr>
            <w:tcW w:w="3330" w:type="dxa"/>
            <w:shd w:val="clear" w:color="auto" w:fill="auto"/>
          </w:tcPr>
          <w:p w14:paraId="29703CBB"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51D6AA59" w14:textId="77777777" w:rsidR="00E72CA9" w:rsidRDefault="00D516E3">
            <w:pPr>
              <w:pStyle w:val="Annalstext"/>
              <w:tabs>
                <w:tab w:val="clear" w:pos="502"/>
              </w:tabs>
              <w:ind w:left="0" w:firstLine="0"/>
              <w:rPr>
                <w:bCs/>
                <w:snapToGrid/>
                <w:sz w:val="20"/>
                <w:lang w:val="en-US"/>
              </w:rPr>
            </w:pPr>
            <w:r>
              <w:rPr>
                <w:bCs/>
                <w:snapToGrid/>
                <w:sz w:val="20"/>
                <w:lang w:val="en-US"/>
              </w:rPr>
              <w:t>Should go approx. 2 cm beyond pelvis on either side (include skin margin except where widest)</w:t>
            </w:r>
          </w:p>
        </w:tc>
      </w:tr>
      <w:tr w:rsidR="00E72CA9" w14:paraId="3D833969" w14:textId="77777777">
        <w:tc>
          <w:tcPr>
            <w:tcW w:w="3330" w:type="dxa"/>
            <w:shd w:val="clear" w:color="auto" w:fill="auto"/>
          </w:tcPr>
          <w:p w14:paraId="6BB2BD69"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4319529D" w14:textId="77777777" w:rsidR="00E72CA9" w:rsidRDefault="00D516E3">
            <w:pPr>
              <w:pStyle w:val="Annalstext"/>
              <w:tabs>
                <w:tab w:val="clear" w:pos="502"/>
              </w:tabs>
              <w:ind w:left="0" w:firstLine="0"/>
              <w:rPr>
                <w:bCs/>
                <w:snapToGrid/>
                <w:sz w:val="20"/>
                <w:lang w:val="en-US"/>
              </w:rPr>
            </w:pPr>
            <w:r>
              <w:rPr>
                <w:bCs/>
                <w:snapToGrid/>
                <w:sz w:val="20"/>
                <w:lang w:val="en-US"/>
              </w:rPr>
              <w:t>100 cm</w:t>
            </w:r>
          </w:p>
        </w:tc>
      </w:tr>
      <w:tr w:rsidR="00E72CA9" w14:paraId="59B0D963" w14:textId="77777777">
        <w:tc>
          <w:tcPr>
            <w:tcW w:w="3330" w:type="dxa"/>
            <w:shd w:val="clear" w:color="auto" w:fill="auto"/>
          </w:tcPr>
          <w:p w14:paraId="6E3E4BF5"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66F4D589"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70908507" w14:textId="77777777" w:rsidR="00E72CA9" w:rsidRDefault="00D516E3">
      <w:pPr>
        <w:pStyle w:val="Annaddtxt"/>
        <w:tabs>
          <w:tab w:val="clear" w:pos="646"/>
          <w:tab w:val="left" w:pos="851"/>
        </w:tabs>
        <w:spacing w:before="120"/>
        <w:jc w:val="center"/>
      </w:pPr>
      <w:r>
        <w:rPr>
          <w:noProof/>
          <w:snapToGrid/>
          <w:lang w:val="en-US" w:eastAsia="en-US"/>
        </w:rPr>
        <w:drawing>
          <wp:inline distT="0" distB="0" distL="0" distR="0" wp14:anchorId="46DADD30" wp14:editId="55644524">
            <wp:extent cx="1194829" cy="2434429"/>
            <wp:effectExtent l="0" t="0" r="5715"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RCP-AM_Abdomen AP.png"/>
                    <pic:cNvPicPr/>
                  </pic:nvPicPr>
                  <pic:blipFill>
                    <a:blip r:embed="rId47" cstate="email">
                      <a:extLst>
                        <a:ext uri="{28A0092B-C50C-407E-A947-70E740481C1C}">
                          <a14:useLocalDpi xmlns:a14="http://schemas.microsoft.com/office/drawing/2010/main"/>
                        </a:ext>
                      </a:extLst>
                    </a:blip>
                    <a:stretch>
                      <a:fillRect/>
                    </a:stretch>
                  </pic:blipFill>
                  <pic:spPr>
                    <a:xfrm>
                      <a:off x="0" y="0"/>
                      <a:ext cx="1221520" cy="2488811"/>
                    </a:xfrm>
                    <a:prstGeom prst="rect">
                      <a:avLst/>
                    </a:prstGeom>
                  </pic:spPr>
                </pic:pic>
              </a:graphicData>
            </a:graphic>
          </wp:inline>
        </w:drawing>
      </w:r>
      <w:r>
        <w:rPr>
          <w:noProof/>
          <w:snapToGrid/>
          <w:lang w:val="en-US" w:eastAsia="en-US"/>
        </w:rPr>
        <w:drawing>
          <wp:inline distT="0" distB="0" distL="0" distR="0" wp14:anchorId="02BD5398" wp14:editId="343C95B5">
            <wp:extent cx="1148606" cy="2434150"/>
            <wp:effectExtent l="0" t="0" r="0" b="444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RCP-AM_Abdomen AP_organs.png"/>
                    <pic:cNvPicPr/>
                  </pic:nvPicPr>
                  <pic:blipFill>
                    <a:blip r:embed="rId48" cstate="email">
                      <a:extLst>
                        <a:ext uri="{28A0092B-C50C-407E-A947-70E740481C1C}">
                          <a14:useLocalDpi xmlns:a14="http://schemas.microsoft.com/office/drawing/2010/main"/>
                        </a:ext>
                      </a:extLst>
                    </a:blip>
                    <a:stretch>
                      <a:fillRect/>
                    </a:stretch>
                  </pic:blipFill>
                  <pic:spPr>
                    <a:xfrm>
                      <a:off x="0" y="0"/>
                      <a:ext cx="1166968" cy="2473064"/>
                    </a:xfrm>
                    <a:prstGeom prst="rect">
                      <a:avLst/>
                    </a:prstGeom>
                  </pic:spPr>
                </pic:pic>
              </a:graphicData>
            </a:graphic>
          </wp:inline>
        </w:drawing>
      </w:r>
      <w:r>
        <w:rPr>
          <w:noProof/>
          <w:snapToGrid/>
          <w:lang w:val="en-US" w:eastAsia="en-US"/>
        </w:rPr>
        <w:drawing>
          <wp:inline distT="0" distB="0" distL="0" distR="0" wp14:anchorId="13481009" wp14:editId="4E9BD421">
            <wp:extent cx="1091078" cy="2384004"/>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RCP-AF_Abdomen AP.png"/>
                    <pic:cNvPicPr/>
                  </pic:nvPicPr>
                  <pic:blipFill>
                    <a:blip r:embed="rId49" cstate="email">
                      <a:extLst>
                        <a:ext uri="{28A0092B-C50C-407E-A947-70E740481C1C}">
                          <a14:useLocalDpi xmlns:a14="http://schemas.microsoft.com/office/drawing/2010/main"/>
                        </a:ext>
                      </a:extLst>
                    </a:blip>
                    <a:stretch>
                      <a:fillRect/>
                    </a:stretch>
                  </pic:blipFill>
                  <pic:spPr>
                    <a:xfrm>
                      <a:off x="0" y="0"/>
                      <a:ext cx="1102836" cy="2409695"/>
                    </a:xfrm>
                    <a:prstGeom prst="rect">
                      <a:avLst/>
                    </a:prstGeom>
                  </pic:spPr>
                </pic:pic>
              </a:graphicData>
            </a:graphic>
          </wp:inline>
        </w:drawing>
      </w:r>
      <w:r>
        <w:rPr>
          <w:noProof/>
          <w:snapToGrid/>
          <w:lang w:val="en-US" w:eastAsia="en-US"/>
        </w:rPr>
        <w:drawing>
          <wp:inline distT="0" distB="0" distL="0" distR="0" wp14:anchorId="4B25CBEE" wp14:editId="040D506B">
            <wp:extent cx="1118382" cy="2381690"/>
            <wp:effectExtent l="0" t="0" r="571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RCP-AF_Abdomen AP_organs.png"/>
                    <pic:cNvPicPr/>
                  </pic:nvPicPr>
                  <pic:blipFill>
                    <a:blip r:embed="rId50" cstate="email">
                      <a:extLst>
                        <a:ext uri="{28A0092B-C50C-407E-A947-70E740481C1C}">
                          <a14:useLocalDpi xmlns:a14="http://schemas.microsoft.com/office/drawing/2010/main"/>
                        </a:ext>
                      </a:extLst>
                    </a:blip>
                    <a:stretch>
                      <a:fillRect/>
                    </a:stretch>
                  </pic:blipFill>
                  <pic:spPr>
                    <a:xfrm>
                      <a:off x="0" y="0"/>
                      <a:ext cx="1133004" cy="2412830"/>
                    </a:xfrm>
                    <a:prstGeom prst="rect">
                      <a:avLst/>
                    </a:prstGeom>
                  </pic:spPr>
                </pic:pic>
              </a:graphicData>
            </a:graphic>
          </wp:inline>
        </w:drawing>
      </w:r>
    </w:p>
    <w:p w14:paraId="734C441E" w14:textId="77777777" w:rsidR="00E72CA9" w:rsidRDefault="00D516E3">
      <w:pPr>
        <w:pStyle w:val="Annaddtxt"/>
        <w:tabs>
          <w:tab w:val="clear" w:pos="646"/>
          <w:tab w:val="left" w:pos="851"/>
        </w:tabs>
        <w:spacing w:after="120"/>
        <w:rPr>
          <w:sz w:val="20"/>
        </w:rPr>
      </w:pPr>
      <w:r>
        <w:t xml:space="preserve">                                       </w:t>
      </w:r>
      <w:r>
        <w:rPr>
          <w:sz w:val="20"/>
        </w:rPr>
        <w:t>Adult male                                                    Adult female</w:t>
      </w:r>
    </w:p>
    <w:p w14:paraId="4FDE265D" w14:textId="77777777" w:rsidR="00E72CA9" w:rsidRDefault="00D516E3">
      <w:pPr>
        <w:jc w:val="both"/>
        <w:rPr>
          <w:szCs w:val="24"/>
        </w:rPr>
      </w:pPr>
      <w:r>
        <w:rPr>
          <w:sz w:val="22"/>
        </w:rPr>
        <w:t>Fig. B.5. Coronal images at the centre of the adult male and female phantoms showing the anatomical landmarks for abdomen anterior-posterior examination. Left to right: the first image shows only the skeletal landmarks and the second image adds the organs of interest.</w:t>
      </w:r>
    </w:p>
    <w:p w14:paraId="1872942E" w14:textId="77777777" w:rsidR="00E72CA9" w:rsidRDefault="00D516E3">
      <w:pPr>
        <w:pStyle w:val="ICRPannexheading3"/>
        <w:ind w:left="709"/>
      </w:pPr>
      <w:r>
        <w:t>Lumbar spine anterior-posterior (AP)</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3808C879" w14:textId="77777777">
        <w:tc>
          <w:tcPr>
            <w:tcW w:w="3330" w:type="dxa"/>
            <w:shd w:val="clear" w:color="auto" w:fill="auto"/>
          </w:tcPr>
          <w:p w14:paraId="7EAB6CBE"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1177B288" w14:textId="77777777" w:rsidR="00E72CA9" w:rsidRDefault="00D516E3">
            <w:pPr>
              <w:pStyle w:val="Annalstext"/>
              <w:tabs>
                <w:tab w:val="clear" w:pos="502"/>
              </w:tabs>
              <w:ind w:left="0" w:firstLine="0"/>
              <w:rPr>
                <w:bCs/>
                <w:snapToGrid/>
                <w:sz w:val="20"/>
                <w:lang w:val="en-US"/>
              </w:rPr>
            </w:pPr>
            <w:r>
              <w:rPr>
                <w:bCs/>
                <w:snapToGrid/>
                <w:sz w:val="20"/>
                <w:lang w:val="en-US"/>
              </w:rPr>
              <w:t>From T11 or ca. mid T10 down to half sacrum (above coccyx)</w:t>
            </w:r>
          </w:p>
        </w:tc>
      </w:tr>
      <w:tr w:rsidR="00E72CA9" w14:paraId="55E79FF8" w14:textId="77777777">
        <w:tc>
          <w:tcPr>
            <w:tcW w:w="3330" w:type="dxa"/>
            <w:shd w:val="clear" w:color="auto" w:fill="auto"/>
          </w:tcPr>
          <w:p w14:paraId="43FFA538"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41723853" w14:textId="77777777" w:rsidR="00E72CA9" w:rsidRDefault="00D516E3">
            <w:pPr>
              <w:pStyle w:val="Annalstext"/>
              <w:tabs>
                <w:tab w:val="clear" w:pos="502"/>
              </w:tabs>
              <w:ind w:left="0" w:firstLine="0"/>
              <w:rPr>
                <w:bCs/>
                <w:snapToGrid/>
                <w:sz w:val="20"/>
                <w:lang w:val="en-US"/>
              </w:rPr>
            </w:pPr>
            <w:r>
              <w:rPr>
                <w:bCs/>
                <w:snapToGrid/>
                <w:sz w:val="20"/>
                <w:lang w:val="en-US"/>
              </w:rPr>
              <w:t xml:space="preserve">Should include at least all of the </w:t>
            </w:r>
            <w:proofErr w:type="spellStart"/>
            <w:r>
              <w:rPr>
                <w:bCs/>
                <w:snapToGrid/>
                <w:sz w:val="20"/>
                <w:lang w:val="en-US"/>
              </w:rPr>
              <w:t>sacro</w:t>
            </w:r>
            <w:proofErr w:type="spellEnd"/>
            <w:r>
              <w:rPr>
                <w:bCs/>
                <w:snapToGrid/>
                <w:sz w:val="20"/>
                <w:lang w:val="en-US"/>
              </w:rPr>
              <w:t>-iliac (SI) joints</w:t>
            </w:r>
          </w:p>
        </w:tc>
      </w:tr>
      <w:tr w:rsidR="00E72CA9" w14:paraId="0D8F6017" w14:textId="77777777">
        <w:tc>
          <w:tcPr>
            <w:tcW w:w="3330" w:type="dxa"/>
            <w:shd w:val="clear" w:color="auto" w:fill="auto"/>
          </w:tcPr>
          <w:p w14:paraId="31F0C270"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7C601841" w14:textId="77777777" w:rsidR="00E72CA9" w:rsidRDefault="00D516E3">
            <w:pPr>
              <w:pStyle w:val="Annalstext"/>
              <w:tabs>
                <w:tab w:val="clear" w:pos="502"/>
              </w:tabs>
              <w:ind w:left="0" w:firstLine="0"/>
              <w:rPr>
                <w:bCs/>
                <w:snapToGrid/>
                <w:sz w:val="20"/>
                <w:lang w:val="en-US"/>
              </w:rPr>
            </w:pPr>
            <w:r>
              <w:rPr>
                <w:bCs/>
                <w:snapToGrid/>
                <w:sz w:val="20"/>
                <w:lang w:val="en-US"/>
              </w:rPr>
              <w:t>115 cm</w:t>
            </w:r>
          </w:p>
        </w:tc>
      </w:tr>
      <w:tr w:rsidR="00E72CA9" w14:paraId="471C5FC5" w14:textId="77777777">
        <w:tc>
          <w:tcPr>
            <w:tcW w:w="3330" w:type="dxa"/>
            <w:shd w:val="clear" w:color="auto" w:fill="auto"/>
          </w:tcPr>
          <w:p w14:paraId="50660A2D"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75A1468C"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2692EC99" w14:textId="77777777" w:rsidR="00E72CA9" w:rsidRDefault="00D516E3">
      <w:pPr>
        <w:pStyle w:val="Annaddtxt"/>
        <w:tabs>
          <w:tab w:val="clear" w:pos="646"/>
          <w:tab w:val="left" w:pos="851"/>
        </w:tabs>
        <w:spacing w:before="120"/>
        <w:jc w:val="center"/>
      </w:pPr>
      <w:r>
        <w:rPr>
          <w:noProof/>
          <w:snapToGrid/>
          <w:lang w:val="en-US" w:eastAsia="en-US"/>
        </w:rPr>
        <w:drawing>
          <wp:inline distT="0" distB="0" distL="0" distR="0" wp14:anchorId="0DD2BC04" wp14:editId="6883A032">
            <wp:extent cx="1214481" cy="2346033"/>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CP-AM_Lumbarspine AP.png"/>
                    <pic:cNvPicPr/>
                  </pic:nvPicPr>
                  <pic:blipFill>
                    <a:blip r:embed="rId51" cstate="email">
                      <a:extLst>
                        <a:ext uri="{28A0092B-C50C-407E-A947-70E740481C1C}">
                          <a14:useLocalDpi xmlns:a14="http://schemas.microsoft.com/office/drawing/2010/main"/>
                        </a:ext>
                      </a:extLst>
                    </a:blip>
                    <a:stretch>
                      <a:fillRect/>
                    </a:stretch>
                  </pic:blipFill>
                  <pic:spPr>
                    <a:xfrm>
                      <a:off x="0" y="0"/>
                      <a:ext cx="1230296" cy="2376583"/>
                    </a:xfrm>
                    <a:prstGeom prst="rect">
                      <a:avLst/>
                    </a:prstGeom>
                  </pic:spPr>
                </pic:pic>
              </a:graphicData>
            </a:graphic>
          </wp:inline>
        </w:drawing>
      </w:r>
      <w:r>
        <w:rPr>
          <w:noProof/>
          <w:snapToGrid/>
          <w:lang w:val="en-US" w:eastAsia="en-US"/>
        </w:rPr>
        <w:drawing>
          <wp:inline distT="0" distB="0" distL="0" distR="0" wp14:anchorId="1CA58797" wp14:editId="154F7523">
            <wp:extent cx="1244991" cy="2317434"/>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CP-AM_Lumbarspine AP_organs.png"/>
                    <pic:cNvPicPr/>
                  </pic:nvPicPr>
                  <pic:blipFill>
                    <a:blip r:embed="rId52" cstate="email">
                      <a:extLst>
                        <a:ext uri="{28A0092B-C50C-407E-A947-70E740481C1C}">
                          <a14:useLocalDpi xmlns:a14="http://schemas.microsoft.com/office/drawing/2010/main"/>
                        </a:ext>
                      </a:extLst>
                    </a:blip>
                    <a:stretch>
                      <a:fillRect/>
                    </a:stretch>
                  </pic:blipFill>
                  <pic:spPr>
                    <a:xfrm>
                      <a:off x="0" y="0"/>
                      <a:ext cx="1260168" cy="2345684"/>
                    </a:xfrm>
                    <a:prstGeom prst="rect">
                      <a:avLst/>
                    </a:prstGeom>
                  </pic:spPr>
                </pic:pic>
              </a:graphicData>
            </a:graphic>
          </wp:inline>
        </w:drawing>
      </w:r>
      <w:r>
        <w:rPr>
          <w:noProof/>
          <w:snapToGrid/>
          <w:lang w:val="en-US" w:eastAsia="en-US"/>
        </w:rPr>
        <w:drawing>
          <wp:inline distT="0" distB="0" distL="0" distR="0" wp14:anchorId="244D8BEB" wp14:editId="4DFD85CB">
            <wp:extent cx="1274735" cy="2293996"/>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CP-AF_Lumbarspine AP.png"/>
                    <pic:cNvPicPr/>
                  </pic:nvPicPr>
                  <pic:blipFill>
                    <a:blip r:embed="rId53" cstate="email">
                      <a:extLst>
                        <a:ext uri="{28A0092B-C50C-407E-A947-70E740481C1C}">
                          <a14:useLocalDpi xmlns:a14="http://schemas.microsoft.com/office/drawing/2010/main"/>
                        </a:ext>
                      </a:extLst>
                    </a:blip>
                    <a:stretch>
                      <a:fillRect/>
                    </a:stretch>
                  </pic:blipFill>
                  <pic:spPr>
                    <a:xfrm>
                      <a:off x="0" y="0"/>
                      <a:ext cx="1286878" cy="2315848"/>
                    </a:xfrm>
                    <a:prstGeom prst="rect">
                      <a:avLst/>
                    </a:prstGeom>
                  </pic:spPr>
                </pic:pic>
              </a:graphicData>
            </a:graphic>
          </wp:inline>
        </w:drawing>
      </w:r>
      <w:r>
        <w:rPr>
          <w:noProof/>
          <w:snapToGrid/>
          <w:lang w:val="en-US" w:eastAsia="en-US"/>
        </w:rPr>
        <w:drawing>
          <wp:inline distT="0" distB="0" distL="0" distR="0" wp14:anchorId="1202AB45" wp14:editId="0B712679">
            <wp:extent cx="1187990" cy="227370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CP-AF_Lumbarspine AP_organs.png"/>
                    <pic:cNvPicPr/>
                  </pic:nvPicPr>
                  <pic:blipFill>
                    <a:blip r:embed="rId54" cstate="email">
                      <a:extLst>
                        <a:ext uri="{28A0092B-C50C-407E-A947-70E740481C1C}">
                          <a14:useLocalDpi xmlns:a14="http://schemas.microsoft.com/office/drawing/2010/main"/>
                        </a:ext>
                      </a:extLst>
                    </a:blip>
                    <a:stretch>
                      <a:fillRect/>
                    </a:stretch>
                  </pic:blipFill>
                  <pic:spPr>
                    <a:xfrm>
                      <a:off x="0" y="0"/>
                      <a:ext cx="1208563" cy="2313082"/>
                    </a:xfrm>
                    <a:prstGeom prst="rect">
                      <a:avLst/>
                    </a:prstGeom>
                  </pic:spPr>
                </pic:pic>
              </a:graphicData>
            </a:graphic>
          </wp:inline>
        </w:drawing>
      </w:r>
    </w:p>
    <w:p w14:paraId="6D8B6FDD" w14:textId="77777777" w:rsidR="00E72CA9" w:rsidRDefault="00D516E3">
      <w:pPr>
        <w:pStyle w:val="Annaddtxt"/>
        <w:tabs>
          <w:tab w:val="clear" w:pos="646"/>
          <w:tab w:val="left" w:pos="851"/>
        </w:tabs>
        <w:rPr>
          <w:sz w:val="20"/>
        </w:rPr>
      </w:pPr>
      <w:r>
        <w:t xml:space="preserve">                                   </w:t>
      </w:r>
      <w:r>
        <w:rPr>
          <w:sz w:val="20"/>
        </w:rPr>
        <w:t>Adult male                                                            Adult female</w:t>
      </w:r>
    </w:p>
    <w:p w14:paraId="194F59AA" w14:textId="77777777" w:rsidR="00E72CA9" w:rsidRDefault="00D516E3">
      <w:pPr>
        <w:spacing w:before="120"/>
        <w:jc w:val="both"/>
        <w:rPr>
          <w:szCs w:val="24"/>
        </w:rPr>
      </w:pPr>
      <w:r>
        <w:rPr>
          <w:sz w:val="22"/>
        </w:rPr>
        <w:t>Fig. B.6. Coronal images at the centre of the adult male and female phantoms showing the anatomical landmarks for lumbar spine anterior-posterior examination. Left to right: the first image shows only the skeletal landmarks and the second image adds the organs of interest.</w:t>
      </w:r>
      <w:r>
        <w:rPr>
          <w:sz w:val="22"/>
          <w:highlight w:val="yellow"/>
        </w:rPr>
        <w:br w:type="page"/>
      </w:r>
    </w:p>
    <w:p w14:paraId="142F8349" w14:textId="77777777" w:rsidR="00E72CA9" w:rsidRDefault="00D516E3">
      <w:pPr>
        <w:pStyle w:val="ICRPannexheading3"/>
        <w:ind w:hanging="1146"/>
      </w:pPr>
      <w:r>
        <w:lastRenderedPageBreak/>
        <w:t>Lumbar spine lateral  (Lat)</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2E7A09B0" w14:textId="77777777">
        <w:tc>
          <w:tcPr>
            <w:tcW w:w="3330" w:type="dxa"/>
            <w:shd w:val="clear" w:color="auto" w:fill="auto"/>
          </w:tcPr>
          <w:p w14:paraId="7DCC47A8"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20E5E474" w14:textId="77777777" w:rsidR="00E72CA9" w:rsidRDefault="00D516E3">
            <w:pPr>
              <w:pStyle w:val="Annalstext"/>
              <w:tabs>
                <w:tab w:val="clear" w:pos="502"/>
              </w:tabs>
              <w:ind w:left="0" w:firstLine="0"/>
              <w:rPr>
                <w:bCs/>
                <w:snapToGrid/>
                <w:sz w:val="20"/>
                <w:lang w:val="en-US"/>
              </w:rPr>
            </w:pPr>
            <w:r>
              <w:rPr>
                <w:bCs/>
                <w:snapToGrid/>
                <w:sz w:val="20"/>
                <w:lang w:val="en-US"/>
              </w:rPr>
              <w:t>From T11 or ca. mid T10 down to half sacrum (above coccyx)</w:t>
            </w:r>
          </w:p>
        </w:tc>
      </w:tr>
      <w:tr w:rsidR="00E72CA9" w14:paraId="75E25278" w14:textId="77777777">
        <w:tc>
          <w:tcPr>
            <w:tcW w:w="3330" w:type="dxa"/>
            <w:shd w:val="clear" w:color="auto" w:fill="auto"/>
          </w:tcPr>
          <w:p w14:paraId="1AD26CB9"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15A1A923" w14:textId="77777777" w:rsidR="00E72CA9" w:rsidRDefault="00D516E3">
            <w:pPr>
              <w:pStyle w:val="Annalstext"/>
              <w:tabs>
                <w:tab w:val="clear" w:pos="502"/>
              </w:tabs>
              <w:ind w:left="0" w:firstLine="0"/>
              <w:rPr>
                <w:bCs/>
                <w:snapToGrid/>
                <w:sz w:val="20"/>
                <w:lang w:val="en-US"/>
              </w:rPr>
            </w:pPr>
            <w:r>
              <w:rPr>
                <w:bCs/>
                <w:snapToGrid/>
                <w:sz w:val="20"/>
                <w:lang w:val="en-US"/>
              </w:rPr>
              <w:t>Should extend approx. 2 cm beyond the bone on either side</w:t>
            </w:r>
          </w:p>
        </w:tc>
      </w:tr>
      <w:tr w:rsidR="00E72CA9" w14:paraId="51555AA7" w14:textId="77777777">
        <w:tc>
          <w:tcPr>
            <w:tcW w:w="3330" w:type="dxa"/>
            <w:shd w:val="clear" w:color="auto" w:fill="auto"/>
          </w:tcPr>
          <w:p w14:paraId="0682ACA0"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5E25204F" w14:textId="77777777" w:rsidR="00E72CA9" w:rsidRDefault="00D516E3">
            <w:pPr>
              <w:pStyle w:val="Annalstext"/>
              <w:tabs>
                <w:tab w:val="clear" w:pos="502"/>
              </w:tabs>
              <w:ind w:left="0" w:firstLine="0"/>
              <w:rPr>
                <w:bCs/>
                <w:snapToGrid/>
                <w:sz w:val="20"/>
                <w:lang w:val="en-US"/>
              </w:rPr>
            </w:pPr>
            <w:r>
              <w:rPr>
                <w:bCs/>
                <w:snapToGrid/>
                <w:sz w:val="20"/>
                <w:lang w:val="en-US"/>
              </w:rPr>
              <w:t>115 cm</w:t>
            </w:r>
          </w:p>
        </w:tc>
      </w:tr>
      <w:tr w:rsidR="00E72CA9" w14:paraId="2ABFE9AC" w14:textId="77777777">
        <w:tc>
          <w:tcPr>
            <w:tcW w:w="3330" w:type="dxa"/>
            <w:shd w:val="clear" w:color="auto" w:fill="auto"/>
          </w:tcPr>
          <w:p w14:paraId="52839E58"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1E5E8278"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1F74282E" w14:textId="77777777" w:rsidR="00E72CA9" w:rsidRDefault="00D516E3">
      <w:pPr>
        <w:pStyle w:val="Annaddtxt"/>
        <w:tabs>
          <w:tab w:val="clear" w:pos="646"/>
          <w:tab w:val="left" w:pos="851"/>
        </w:tabs>
        <w:spacing w:before="120"/>
        <w:jc w:val="center"/>
      </w:pPr>
      <w:r>
        <w:rPr>
          <w:noProof/>
          <w:snapToGrid/>
          <w:lang w:val="en-US" w:eastAsia="en-US"/>
        </w:rPr>
        <w:drawing>
          <wp:inline distT="0" distB="0" distL="0" distR="0" wp14:anchorId="0EDDB079" wp14:editId="69C7D47E">
            <wp:extent cx="784800" cy="24804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RCP-AM_Lumbar spine LAT.png"/>
                    <pic:cNvPicPr/>
                  </pic:nvPicPr>
                  <pic:blipFill>
                    <a:blip r:embed="rId55" cstate="email">
                      <a:extLst>
                        <a:ext uri="{28A0092B-C50C-407E-A947-70E740481C1C}">
                          <a14:useLocalDpi xmlns:a14="http://schemas.microsoft.com/office/drawing/2010/main"/>
                        </a:ext>
                      </a:extLst>
                    </a:blip>
                    <a:stretch>
                      <a:fillRect/>
                    </a:stretch>
                  </pic:blipFill>
                  <pic:spPr>
                    <a:xfrm>
                      <a:off x="0" y="0"/>
                      <a:ext cx="784800" cy="2480400"/>
                    </a:xfrm>
                    <a:prstGeom prst="rect">
                      <a:avLst/>
                    </a:prstGeom>
                  </pic:spPr>
                </pic:pic>
              </a:graphicData>
            </a:graphic>
          </wp:inline>
        </w:drawing>
      </w:r>
      <w:r>
        <w:rPr>
          <w:noProof/>
          <w:snapToGrid/>
          <w:lang w:val="en-US" w:eastAsia="en-US"/>
        </w:rPr>
        <w:drawing>
          <wp:inline distT="0" distB="0" distL="0" distR="0" wp14:anchorId="322FCB01" wp14:editId="6E8BA80C">
            <wp:extent cx="752400" cy="2473200"/>
            <wp:effectExtent l="0" t="0" r="0" b="381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RCP-AM_Lumbar spine LAT_organs.png"/>
                    <pic:cNvPicPr/>
                  </pic:nvPicPr>
                  <pic:blipFill>
                    <a:blip r:embed="rId56" cstate="email">
                      <a:extLst>
                        <a:ext uri="{28A0092B-C50C-407E-A947-70E740481C1C}">
                          <a14:useLocalDpi xmlns:a14="http://schemas.microsoft.com/office/drawing/2010/main"/>
                        </a:ext>
                      </a:extLst>
                    </a:blip>
                    <a:stretch>
                      <a:fillRect/>
                    </a:stretch>
                  </pic:blipFill>
                  <pic:spPr>
                    <a:xfrm>
                      <a:off x="0" y="0"/>
                      <a:ext cx="752400" cy="2473200"/>
                    </a:xfrm>
                    <a:prstGeom prst="rect">
                      <a:avLst/>
                    </a:prstGeom>
                  </pic:spPr>
                </pic:pic>
              </a:graphicData>
            </a:graphic>
          </wp:inline>
        </w:drawing>
      </w:r>
      <w:r>
        <w:rPr>
          <w:noProof/>
          <w:snapToGrid/>
          <w:lang w:val="en-US" w:eastAsia="en-US"/>
        </w:rPr>
        <w:drawing>
          <wp:inline distT="0" distB="0" distL="0" distR="0" wp14:anchorId="7EBAC785" wp14:editId="5E85408F">
            <wp:extent cx="741600" cy="2473200"/>
            <wp:effectExtent l="0" t="0" r="1905" b="381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RCP-AF_Lumbar spine LAT.png"/>
                    <pic:cNvPicPr/>
                  </pic:nvPicPr>
                  <pic:blipFill>
                    <a:blip r:embed="rId57" cstate="email">
                      <a:extLst>
                        <a:ext uri="{28A0092B-C50C-407E-A947-70E740481C1C}">
                          <a14:useLocalDpi xmlns:a14="http://schemas.microsoft.com/office/drawing/2010/main"/>
                        </a:ext>
                      </a:extLst>
                    </a:blip>
                    <a:stretch>
                      <a:fillRect/>
                    </a:stretch>
                  </pic:blipFill>
                  <pic:spPr>
                    <a:xfrm>
                      <a:off x="0" y="0"/>
                      <a:ext cx="741600" cy="2473200"/>
                    </a:xfrm>
                    <a:prstGeom prst="rect">
                      <a:avLst/>
                    </a:prstGeom>
                  </pic:spPr>
                </pic:pic>
              </a:graphicData>
            </a:graphic>
          </wp:inline>
        </w:drawing>
      </w:r>
      <w:r>
        <w:rPr>
          <w:noProof/>
          <w:snapToGrid/>
          <w:lang w:val="en-US" w:eastAsia="en-US"/>
        </w:rPr>
        <w:drawing>
          <wp:inline distT="0" distB="0" distL="0" distR="0" wp14:anchorId="390AA8E8" wp14:editId="68FEA8E4">
            <wp:extent cx="702000" cy="2448000"/>
            <wp:effectExtent l="0" t="0" r="317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RCP-AF_Lumbar spine LAT_organs.png"/>
                    <pic:cNvPicPr/>
                  </pic:nvPicPr>
                  <pic:blipFill>
                    <a:blip r:embed="rId58" cstate="email">
                      <a:extLst>
                        <a:ext uri="{28A0092B-C50C-407E-A947-70E740481C1C}">
                          <a14:useLocalDpi xmlns:a14="http://schemas.microsoft.com/office/drawing/2010/main"/>
                        </a:ext>
                      </a:extLst>
                    </a:blip>
                    <a:stretch>
                      <a:fillRect/>
                    </a:stretch>
                  </pic:blipFill>
                  <pic:spPr>
                    <a:xfrm>
                      <a:off x="0" y="0"/>
                      <a:ext cx="702000" cy="2448000"/>
                    </a:xfrm>
                    <a:prstGeom prst="rect">
                      <a:avLst/>
                    </a:prstGeom>
                  </pic:spPr>
                </pic:pic>
              </a:graphicData>
            </a:graphic>
          </wp:inline>
        </w:drawing>
      </w:r>
    </w:p>
    <w:p w14:paraId="46362522" w14:textId="77777777" w:rsidR="00E72CA9" w:rsidRDefault="00D516E3">
      <w:pPr>
        <w:pStyle w:val="Annaddtxt"/>
        <w:tabs>
          <w:tab w:val="clear" w:pos="646"/>
          <w:tab w:val="left" w:pos="851"/>
        </w:tabs>
        <w:spacing w:after="120"/>
        <w:rPr>
          <w:sz w:val="20"/>
        </w:rPr>
      </w:pPr>
      <w:r>
        <w:t xml:space="preserve">                                                 </w:t>
      </w:r>
      <w:r>
        <w:rPr>
          <w:sz w:val="20"/>
        </w:rPr>
        <w:t>Adult male                           Adult female</w:t>
      </w:r>
    </w:p>
    <w:p w14:paraId="263B5A93" w14:textId="77777777" w:rsidR="00E72CA9" w:rsidRDefault="00D516E3">
      <w:pPr>
        <w:jc w:val="both"/>
        <w:rPr>
          <w:szCs w:val="24"/>
        </w:rPr>
      </w:pPr>
      <w:r>
        <w:rPr>
          <w:sz w:val="22"/>
        </w:rPr>
        <w:t xml:space="preserve">Fig. B.7. </w:t>
      </w:r>
      <w:proofErr w:type="spellStart"/>
      <w:r>
        <w:rPr>
          <w:sz w:val="22"/>
        </w:rPr>
        <w:t>Sagital</w:t>
      </w:r>
      <w:proofErr w:type="spellEnd"/>
      <w:r>
        <w:rPr>
          <w:sz w:val="22"/>
        </w:rPr>
        <w:t xml:space="preserve"> images at the centre of the adult male and female phantoms showing the anatomical landmarks for lumbar spine lateral examination. Left to right: the first image shows only the skeletal landmarks and the second image adds the organs of interest.</w:t>
      </w:r>
    </w:p>
    <w:p w14:paraId="4E0E8F58" w14:textId="77777777" w:rsidR="00E72CA9" w:rsidRDefault="00D516E3">
      <w:pPr>
        <w:pStyle w:val="ICRPannexheading3"/>
        <w:ind w:hanging="1146"/>
      </w:pPr>
      <w:r>
        <w:t xml:space="preserve">Lumbar spine oblique </w:t>
      </w:r>
      <w:bookmarkStart w:id="204" w:name="_Hlk158719941"/>
      <w:r>
        <w:t>(15° angulation)</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58184144" w14:textId="77777777">
        <w:tc>
          <w:tcPr>
            <w:tcW w:w="3330" w:type="dxa"/>
            <w:shd w:val="clear" w:color="auto" w:fill="auto"/>
          </w:tcPr>
          <w:bookmarkEnd w:id="204"/>
          <w:p w14:paraId="1F9E09EC"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0CEF6C3E" w14:textId="77777777" w:rsidR="00E72CA9" w:rsidRDefault="00D516E3">
            <w:pPr>
              <w:pStyle w:val="Annalstext"/>
              <w:tabs>
                <w:tab w:val="clear" w:pos="502"/>
              </w:tabs>
              <w:ind w:left="0" w:firstLine="0"/>
              <w:rPr>
                <w:bCs/>
                <w:snapToGrid/>
                <w:sz w:val="20"/>
                <w:lang w:val="en-US"/>
              </w:rPr>
            </w:pPr>
            <w:r>
              <w:rPr>
                <w:bCs/>
                <w:snapToGrid/>
                <w:sz w:val="20"/>
                <w:lang w:val="en-US"/>
              </w:rPr>
              <w:t>From T11 or ca. mid T10 down to half sacrum (above coccyx)</w:t>
            </w:r>
          </w:p>
        </w:tc>
      </w:tr>
      <w:tr w:rsidR="00E72CA9" w14:paraId="09E0C146" w14:textId="77777777">
        <w:tc>
          <w:tcPr>
            <w:tcW w:w="3330" w:type="dxa"/>
            <w:shd w:val="clear" w:color="auto" w:fill="auto"/>
          </w:tcPr>
          <w:p w14:paraId="358CB721"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725A3644" w14:textId="77777777" w:rsidR="00E72CA9" w:rsidRDefault="00D516E3">
            <w:pPr>
              <w:pStyle w:val="Annalstext"/>
              <w:tabs>
                <w:tab w:val="clear" w:pos="502"/>
              </w:tabs>
              <w:ind w:left="0" w:firstLine="0"/>
              <w:rPr>
                <w:bCs/>
                <w:snapToGrid/>
                <w:sz w:val="20"/>
                <w:lang w:val="en-US"/>
              </w:rPr>
            </w:pPr>
            <w:r>
              <w:rPr>
                <w:bCs/>
                <w:snapToGrid/>
                <w:sz w:val="20"/>
                <w:lang w:val="en-US"/>
              </w:rPr>
              <w:t>Should include at least all of the SI joints</w:t>
            </w:r>
          </w:p>
        </w:tc>
      </w:tr>
      <w:tr w:rsidR="00E72CA9" w14:paraId="2873EB1F" w14:textId="77777777">
        <w:tc>
          <w:tcPr>
            <w:tcW w:w="3330" w:type="dxa"/>
            <w:shd w:val="clear" w:color="auto" w:fill="auto"/>
          </w:tcPr>
          <w:p w14:paraId="0E634392"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1123E0CE" w14:textId="77777777" w:rsidR="00E72CA9" w:rsidRDefault="00D516E3">
            <w:pPr>
              <w:pStyle w:val="Annalstext"/>
              <w:tabs>
                <w:tab w:val="clear" w:pos="502"/>
              </w:tabs>
              <w:ind w:left="0" w:firstLine="0"/>
              <w:rPr>
                <w:bCs/>
                <w:snapToGrid/>
                <w:sz w:val="20"/>
                <w:lang w:val="en-US"/>
              </w:rPr>
            </w:pPr>
            <w:r>
              <w:rPr>
                <w:bCs/>
                <w:snapToGrid/>
                <w:sz w:val="20"/>
                <w:lang w:val="en-US"/>
              </w:rPr>
              <w:t>100 cm</w:t>
            </w:r>
          </w:p>
        </w:tc>
      </w:tr>
      <w:tr w:rsidR="00E72CA9" w14:paraId="711163B2" w14:textId="77777777">
        <w:tc>
          <w:tcPr>
            <w:tcW w:w="3330" w:type="dxa"/>
            <w:shd w:val="clear" w:color="auto" w:fill="auto"/>
          </w:tcPr>
          <w:p w14:paraId="020FC527"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320B282F"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432AA597" w14:textId="77777777" w:rsidR="00E72CA9" w:rsidRDefault="00D516E3">
      <w:pPr>
        <w:pStyle w:val="Annaddtxt"/>
        <w:tabs>
          <w:tab w:val="clear" w:pos="646"/>
          <w:tab w:val="left" w:pos="851"/>
        </w:tabs>
        <w:spacing w:before="120"/>
        <w:jc w:val="center"/>
      </w:pPr>
      <w:r>
        <w:rPr>
          <w:noProof/>
          <w:snapToGrid/>
          <w:lang w:val="en-US" w:eastAsia="en-US"/>
        </w:rPr>
        <w:drawing>
          <wp:inline distT="0" distB="0" distL="0" distR="0" wp14:anchorId="0CA22027" wp14:editId="42B82C2B">
            <wp:extent cx="1022400" cy="2350800"/>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RCP-AM_Lumbar spine OBL_no-organs.png"/>
                    <pic:cNvPicPr/>
                  </pic:nvPicPr>
                  <pic:blipFill>
                    <a:blip r:embed="rId59" cstate="email">
                      <a:extLst>
                        <a:ext uri="{28A0092B-C50C-407E-A947-70E740481C1C}">
                          <a14:useLocalDpi xmlns:a14="http://schemas.microsoft.com/office/drawing/2010/main"/>
                        </a:ext>
                      </a:extLst>
                    </a:blip>
                    <a:stretch>
                      <a:fillRect/>
                    </a:stretch>
                  </pic:blipFill>
                  <pic:spPr>
                    <a:xfrm>
                      <a:off x="0" y="0"/>
                      <a:ext cx="1022400" cy="2350800"/>
                    </a:xfrm>
                    <a:prstGeom prst="rect">
                      <a:avLst/>
                    </a:prstGeom>
                  </pic:spPr>
                </pic:pic>
              </a:graphicData>
            </a:graphic>
          </wp:inline>
        </w:drawing>
      </w:r>
      <w:r>
        <w:rPr>
          <w:noProof/>
          <w:snapToGrid/>
          <w:lang w:val="en-US" w:eastAsia="en-US"/>
        </w:rPr>
        <w:drawing>
          <wp:inline distT="0" distB="0" distL="0" distR="0" wp14:anchorId="2E8349B6" wp14:editId="7DAF87A8">
            <wp:extent cx="1033200" cy="2365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CP-AM_Lumbar spine OBL.png"/>
                    <pic:cNvPicPr/>
                  </pic:nvPicPr>
                  <pic:blipFill>
                    <a:blip r:embed="rId60" cstate="email">
                      <a:extLst>
                        <a:ext uri="{28A0092B-C50C-407E-A947-70E740481C1C}">
                          <a14:useLocalDpi xmlns:a14="http://schemas.microsoft.com/office/drawing/2010/main"/>
                        </a:ext>
                      </a:extLst>
                    </a:blip>
                    <a:stretch>
                      <a:fillRect/>
                    </a:stretch>
                  </pic:blipFill>
                  <pic:spPr>
                    <a:xfrm>
                      <a:off x="0" y="0"/>
                      <a:ext cx="1033200" cy="2365200"/>
                    </a:xfrm>
                    <a:prstGeom prst="rect">
                      <a:avLst/>
                    </a:prstGeom>
                  </pic:spPr>
                </pic:pic>
              </a:graphicData>
            </a:graphic>
          </wp:inline>
        </w:drawing>
      </w:r>
      <w:r>
        <w:rPr>
          <w:noProof/>
          <w:snapToGrid/>
          <w:lang w:val="en-US" w:eastAsia="en-US"/>
        </w:rPr>
        <w:drawing>
          <wp:inline distT="0" distB="0" distL="0" distR="0" wp14:anchorId="51F42F3E" wp14:editId="1FC53711">
            <wp:extent cx="1054800" cy="23436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CP-AF_Lumbar spine OBL_no-organs.png"/>
                    <pic:cNvPicPr/>
                  </pic:nvPicPr>
                  <pic:blipFill>
                    <a:blip r:embed="rId61" cstate="email">
                      <a:extLst>
                        <a:ext uri="{28A0092B-C50C-407E-A947-70E740481C1C}">
                          <a14:useLocalDpi xmlns:a14="http://schemas.microsoft.com/office/drawing/2010/main"/>
                        </a:ext>
                      </a:extLst>
                    </a:blip>
                    <a:stretch>
                      <a:fillRect/>
                    </a:stretch>
                  </pic:blipFill>
                  <pic:spPr>
                    <a:xfrm>
                      <a:off x="0" y="0"/>
                      <a:ext cx="1054800" cy="2343600"/>
                    </a:xfrm>
                    <a:prstGeom prst="rect">
                      <a:avLst/>
                    </a:prstGeom>
                  </pic:spPr>
                </pic:pic>
              </a:graphicData>
            </a:graphic>
          </wp:inline>
        </w:drawing>
      </w:r>
      <w:r>
        <w:rPr>
          <w:noProof/>
          <w:snapToGrid/>
          <w:lang w:val="en-US" w:eastAsia="en-US"/>
        </w:rPr>
        <w:drawing>
          <wp:inline distT="0" distB="0" distL="0" distR="0" wp14:anchorId="6BDE3CF9" wp14:editId="47D60655">
            <wp:extent cx="1083600" cy="2376000"/>
            <wp:effectExtent l="0" t="0" r="254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CP-AF_Lumbar spine OBL.png"/>
                    <pic:cNvPicPr/>
                  </pic:nvPicPr>
                  <pic:blipFill>
                    <a:blip r:embed="rId62" cstate="email">
                      <a:extLst>
                        <a:ext uri="{28A0092B-C50C-407E-A947-70E740481C1C}">
                          <a14:useLocalDpi xmlns:a14="http://schemas.microsoft.com/office/drawing/2010/main"/>
                        </a:ext>
                      </a:extLst>
                    </a:blip>
                    <a:stretch>
                      <a:fillRect/>
                    </a:stretch>
                  </pic:blipFill>
                  <pic:spPr>
                    <a:xfrm>
                      <a:off x="0" y="0"/>
                      <a:ext cx="1083600" cy="2376000"/>
                    </a:xfrm>
                    <a:prstGeom prst="rect">
                      <a:avLst/>
                    </a:prstGeom>
                  </pic:spPr>
                </pic:pic>
              </a:graphicData>
            </a:graphic>
          </wp:inline>
        </w:drawing>
      </w:r>
    </w:p>
    <w:p w14:paraId="561F6A7F" w14:textId="77777777" w:rsidR="00E72CA9" w:rsidRDefault="00D516E3">
      <w:pPr>
        <w:pStyle w:val="Annaddtxt"/>
        <w:tabs>
          <w:tab w:val="clear" w:pos="646"/>
          <w:tab w:val="left" w:pos="851"/>
        </w:tabs>
        <w:spacing w:after="120"/>
        <w:rPr>
          <w:sz w:val="20"/>
        </w:rPr>
      </w:pPr>
      <w:r>
        <w:t xml:space="preserve">                                         </w:t>
      </w:r>
      <w:r>
        <w:rPr>
          <w:sz w:val="20"/>
        </w:rPr>
        <w:t>Adult male                                              Adult female</w:t>
      </w:r>
    </w:p>
    <w:p w14:paraId="0E455F69" w14:textId="77777777" w:rsidR="00E72CA9" w:rsidRDefault="00D516E3">
      <w:pPr>
        <w:jc w:val="both"/>
        <w:rPr>
          <w:szCs w:val="24"/>
        </w:rPr>
      </w:pPr>
      <w:bookmarkStart w:id="205" w:name="_Hlk158790283"/>
      <w:bookmarkStart w:id="206" w:name="_Hlk158790247"/>
      <w:r>
        <w:rPr>
          <w:sz w:val="22"/>
        </w:rPr>
        <w:t xml:space="preserve">Fig. B.8. Coronal images at the centre of the adult male and female phantoms showing the anatomical landmarks for lumbar spine oblique (15°) examination. Left to right: the first image shows only the left skeletal landmarks and the second image adds the organs of interest. </w:t>
      </w:r>
      <w:bookmarkEnd w:id="205"/>
      <w:r>
        <w:rPr>
          <w:sz w:val="22"/>
        </w:rPr>
        <w:t xml:space="preserve">Note: the analogous right lumber spine oblique examination is not shown as the field positioning and size are similar. </w:t>
      </w:r>
    </w:p>
    <w:p w14:paraId="1669E762" w14:textId="77777777" w:rsidR="00E72CA9" w:rsidRDefault="00D516E3">
      <w:pPr>
        <w:pStyle w:val="ICRPannexheading3"/>
        <w:ind w:left="284" w:hanging="284"/>
      </w:pPr>
      <w:bookmarkStart w:id="207" w:name="_Hlk158720736"/>
      <w:bookmarkEnd w:id="206"/>
      <w:r>
        <w:lastRenderedPageBreak/>
        <w:t xml:space="preserve">Cervical spine anterior-posterior (AP) (10° cranial angulation) </w:t>
      </w:r>
      <w:bookmarkEnd w:id="207"/>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0A21325F" w14:textId="77777777">
        <w:tc>
          <w:tcPr>
            <w:tcW w:w="3330" w:type="dxa"/>
            <w:shd w:val="clear" w:color="auto" w:fill="auto"/>
          </w:tcPr>
          <w:p w14:paraId="77DE62D4"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2982631E" w14:textId="77777777" w:rsidR="00E72CA9" w:rsidRDefault="00D516E3">
            <w:pPr>
              <w:pStyle w:val="Annalstext"/>
              <w:tabs>
                <w:tab w:val="clear" w:pos="502"/>
              </w:tabs>
              <w:ind w:left="0" w:firstLine="0"/>
              <w:rPr>
                <w:bCs/>
                <w:snapToGrid/>
                <w:sz w:val="20"/>
                <w:lang w:val="en-US"/>
              </w:rPr>
            </w:pPr>
            <w:r>
              <w:rPr>
                <w:bCs/>
                <w:snapToGrid/>
                <w:sz w:val="20"/>
                <w:lang w:val="en-US"/>
              </w:rPr>
              <w:t>From slightly above C1 down to T2 – superiorly avoid orbit</w:t>
            </w:r>
          </w:p>
        </w:tc>
      </w:tr>
      <w:tr w:rsidR="00E72CA9" w14:paraId="170BA2CF" w14:textId="77777777">
        <w:tc>
          <w:tcPr>
            <w:tcW w:w="3330" w:type="dxa"/>
            <w:shd w:val="clear" w:color="auto" w:fill="auto"/>
          </w:tcPr>
          <w:p w14:paraId="36960A07"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350B8C21" w14:textId="77777777" w:rsidR="00E72CA9" w:rsidRDefault="00D516E3">
            <w:pPr>
              <w:pStyle w:val="Annalstext"/>
              <w:tabs>
                <w:tab w:val="clear" w:pos="502"/>
              </w:tabs>
              <w:ind w:left="0" w:firstLine="0"/>
              <w:rPr>
                <w:bCs/>
                <w:snapToGrid/>
                <w:sz w:val="20"/>
                <w:lang w:val="en-US"/>
              </w:rPr>
            </w:pPr>
            <w:r>
              <w:rPr>
                <w:bCs/>
                <w:snapToGrid/>
                <w:sz w:val="20"/>
                <w:lang w:val="en-US"/>
              </w:rPr>
              <w:t>Should include all soft tissue of the neck</w:t>
            </w:r>
          </w:p>
        </w:tc>
      </w:tr>
      <w:tr w:rsidR="00E72CA9" w14:paraId="4B482528" w14:textId="77777777">
        <w:tc>
          <w:tcPr>
            <w:tcW w:w="3330" w:type="dxa"/>
            <w:shd w:val="clear" w:color="auto" w:fill="auto"/>
          </w:tcPr>
          <w:p w14:paraId="3471AA5A"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07A11FA8" w14:textId="77777777" w:rsidR="00E72CA9" w:rsidRDefault="00D516E3">
            <w:pPr>
              <w:pStyle w:val="Annalstext"/>
              <w:tabs>
                <w:tab w:val="clear" w:pos="502"/>
              </w:tabs>
              <w:ind w:left="0" w:firstLine="0"/>
              <w:rPr>
                <w:bCs/>
                <w:snapToGrid/>
                <w:sz w:val="20"/>
                <w:lang w:val="en-US"/>
              </w:rPr>
            </w:pPr>
            <w:r>
              <w:rPr>
                <w:bCs/>
                <w:snapToGrid/>
                <w:sz w:val="20"/>
                <w:lang w:val="en-US"/>
              </w:rPr>
              <w:t>100 cm</w:t>
            </w:r>
          </w:p>
        </w:tc>
      </w:tr>
      <w:tr w:rsidR="00E72CA9" w14:paraId="4F086199" w14:textId="77777777">
        <w:tc>
          <w:tcPr>
            <w:tcW w:w="3330" w:type="dxa"/>
            <w:shd w:val="clear" w:color="auto" w:fill="auto"/>
          </w:tcPr>
          <w:p w14:paraId="29C6410E"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35BA818A"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0F951BF4" w14:textId="77777777" w:rsidR="00E72CA9" w:rsidRDefault="00D516E3">
      <w:pPr>
        <w:pStyle w:val="Annaddtxt"/>
        <w:tabs>
          <w:tab w:val="clear" w:pos="646"/>
          <w:tab w:val="left" w:pos="851"/>
        </w:tabs>
        <w:spacing w:before="120"/>
        <w:jc w:val="center"/>
      </w:pPr>
      <w:r>
        <w:rPr>
          <w:noProof/>
        </w:rPr>
        <w:drawing>
          <wp:inline distT="0" distB="0" distL="0" distR="0" wp14:anchorId="78BDB7AD" wp14:editId="213C6F05">
            <wp:extent cx="1360800" cy="24408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360800" cy="2440800"/>
                    </a:xfrm>
                    <a:prstGeom prst="rect">
                      <a:avLst/>
                    </a:prstGeom>
                    <a:noFill/>
                    <a:ln>
                      <a:noFill/>
                    </a:ln>
                  </pic:spPr>
                </pic:pic>
              </a:graphicData>
            </a:graphic>
          </wp:inline>
        </w:drawing>
      </w:r>
      <w:r>
        <w:rPr>
          <w:noProof/>
        </w:rPr>
        <w:drawing>
          <wp:inline distT="0" distB="0" distL="0" distR="0" wp14:anchorId="267BE05E" wp14:editId="795B4FE9">
            <wp:extent cx="1360800" cy="2440800"/>
            <wp:effectExtent l="0" t="0" r="0" b="0"/>
            <wp:docPr id="660875350"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360800" cy="2440800"/>
                    </a:xfrm>
                    <a:prstGeom prst="rect">
                      <a:avLst/>
                    </a:prstGeom>
                    <a:noFill/>
                    <a:ln>
                      <a:noFill/>
                    </a:ln>
                  </pic:spPr>
                </pic:pic>
              </a:graphicData>
            </a:graphic>
          </wp:inline>
        </w:drawing>
      </w:r>
      <w:r>
        <w:rPr>
          <w:noProof/>
        </w:rPr>
        <w:drawing>
          <wp:inline distT="0" distB="0" distL="0" distR="0" wp14:anchorId="3F158EB6" wp14:editId="3910B9B4">
            <wp:extent cx="1328400" cy="2430000"/>
            <wp:effectExtent l="0" t="0" r="5715" b="8890"/>
            <wp:docPr id="48075509"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328400" cy="2430000"/>
                    </a:xfrm>
                    <a:prstGeom prst="rect">
                      <a:avLst/>
                    </a:prstGeom>
                    <a:noFill/>
                    <a:ln>
                      <a:noFill/>
                    </a:ln>
                  </pic:spPr>
                </pic:pic>
              </a:graphicData>
            </a:graphic>
          </wp:inline>
        </w:drawing>
      </w:r>
      <w:r>
        <w:rPr>
          <w:noProof/>
        </w:rPr>
        <w:drawing>
          <wp:inline distT="0" distB="0" distL="0" distR="0" wp14:anchorId="51B10335" wp14:editId="0ED4F9C6">
            <wp:extent cx="1332000" cy="2440800"/>
            <wp:effectExtent l="0" t="0" r="190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332000" cy="2440800"/>
                    </a:xfrm>
                    <a:prstGeom prst="rect">
                      <a:avLst/>
                    </a:prstGeom>
                    <a:noFill/>
                    <a:ln>
                      <a:noFill/>
                    </a:ln>
                  </pic:spPr>
                </pic:pic>
              </a:graphicData>
            </a:graphic>
          </wp:inline>
        </w:drawing>
      </w:r>
    </w:p>
    <w:p w14:paraId="665E0C4C" w14:textId="77777777" w:rsidR="00E72CA9" w:rsidRDefault="00D516E3">
      <w:pPr>
        <w:pStyle w:val="Annaddtxt"/>
        <w:tabs>
          <w:tab w:val="clear" w:pos="646"/>
          <w:tab w:val="left" w:pos="851"/>
        </w:tabs>
        <w:spacing w:after="240"/>
        <w:rPr>
          <w:sz w:val="20"/>
        </w:rPr>
      </w:pPr>
      <w:r>
        <w:t xml:space="preserve">                                </w:t>
      </w:r>
      <w:r>
        <w:rPr>
          <w:sz w:val="20"/>
        </w:rPr>
        <w:t>Adult male                                                                  Adult female</w:t>
      </w:r>
    </w:p>
    <w:p w14:paraId="410AA357" w14:textId="77777777" w:rsidR="00E72CA9" w:rsidRDefault="00E72CA9">
      <w:pPr>
        <w:pStyle w:val="Annaddtxt"/>
        <w:tabs>
          <w:tab w:val="clear" w:pos="646"/>
          <w:tab w:val="left" w:pos="851"/>
        </w:tabs>
        <w:rPr>
          <w:sz w:val="22"/>
        </w:rPr>
      </w:pPr>
    </w:p>
    <w:p w14:paraId="50291161" w14:textId="77777777" w:rsidR="00E72CA9" w:rsidRDefault="00E72CA9">
      <w:pPr>
        <w:pStyle w:val="Annaddtxt"/>
        <w:tabs>
          <w:tab w:val="clear" w:pos="646"/>
          <w:tab w:val="left" w:pos="851"/>
        </w:tabs>
        <w:rPr>
          <w:sz w:val="22"/>
        </w:rPr>
      </w:pPr>
    </w:p>
    <w:p w14:paraId="528C88BC" w14:textId="77777777" w:rsidR="00E72CA9" w:rsidRDefault="00D516E3">
      <w:pPr>
        <w:pStyle w:val="Annaddtxt"/>
        <w:tabs>
          <w:tab w:val="clear" w:pos="646"/>
          <w:tab w:val="left" w:pos="851"/>
        </w:tabs>
        <w:jc w:val="center"/>
        <w:rPr>
          <w:sz w:val="22"/>
        </w:rPr>
      </w:pPr>
      <w:r>
        <w:rPr>
          <w:noProof/>
        </w:rPr>
        <w:drawing>
          <wp:inline distT="0" distB="0" distL="0" distR="0" wp14:anchorId="1B7EDB87" wp14:editId="6CB87F2A">
            <wp:extent cx="2502000" cy="2440800"/>
            <wp:effectExtent l="0" t="0" r="0" b="0"/>
            <wp:docPr id="1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502000" cy="2440800"/>
                    </a:xfrm>
                    <a:prstGeom prst="rect">
                      <a:avLst/>
                    </a:prstGeom>
                    <a:noFill/>
                    <a:ln>
                      <a:noFill/>
                    </a:ln>
                  </pic:spPr>
                </pic:pic>
              </a:graphicData>
            </a:graphic>
          </wp:inline>
        </w:drawing>
      </w:r>
    </w:p>
    <w:p w14:paraId="74666D9C" w14:textId="77777777" w:rsidR="00E72CA9" w:rsidRDefault="00D516E3">
      <w:pPr>
        <w:spacing w:before="120"/>
        <w:jc w:val="both"/>
        <w:rPr>
          <w:szCs w:val="24"/>
        </w:rPr>
      </w:pPr>
      <w:r>
        <w:rPr>
          <w:sz w:val="22"/>
        </w:rPr>
        <w:t>Fig. B.9. Top: coronal images at the centre of the adult male and female phantoms showing the anatomical landmarks for cervical spine anterior posterior (15° cranial angulation) examination. Left to right: the first image shows only the skeletal landmarks and the second image adds the organs of interest.</w:t>
      </w:r>
    </w:p>
    <w:p w14:paraId="1887E74B" w14:textId="77777777" w:rsidR="00E72CA9" w:rsidRDefault="00D516E3">
      <w:pPr>
        <w:pStyle w:val="Annaddtxt"/>
        <w:tabs>
          <w:tab w:val="clear" w:pos="646"/>
          <w:tab w:val="left" w:pos="851"/>
        </w:tabs>
        <w:rPr>
          <w:sz w:val="22"/>
          <w:szCs w:val="22"/>
        </w:rPr>
      </w:pPr>
      <w:r>
        <w:rPr>
          <w:sz w:val="22"/>
          <w:szCs w:val="22"/>
        </w:rPr>
        <w:t xml:space="preserve">Bottom: image demonstrating the beam angulation on the male phantom. </w:t>
      </w:r>
    </w:p>
    <w:p w14:paraId="30C0F832" w14:textId="77777777" w:rsidR="00E72CA9" w:rsidRDefault="00D516E3">
      <w:pPr>
        <w:spacing w:after="160" w:line="259" w:lineRule="auto"/>
      </w:pPr>
      <w:r>
        <w:br w:type="page"/>
      </w:r>
    </w:p>
    <w:p w14:paraId="75FE68BB" w14:textId="77777777" w:rsidR="00E72CA9" w:rsidRDefault="00D516E3">
      <w:pPr>
        <w:pStyle w:val="ICRPannexheading3"/>
        <w:ind w:hanging="1146"/>
      </w:pPr>
      <w:r>
        <w:lastRenderedPageBreak/>
        <w:t xml:space="preserve"> Cervical spine lateral (Lat) </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0891AFD3" w14:textId="77777777">
        <w:tc>
          <w:tcPr>
            <w:tcW w:w="3330" w:type="dxa"/>
            <w:shd w:val="clear" w:color="auto" w:fill="auto"/>
          </w:tcPr>
          <w:p w14:paraId="3C04D495"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205C1B58" w14:textId="77777777" w:rsidR="00E72CA9" w:rsidRDefault="00D516E3">
            <w:pPr>
              <w:pStyle w:val="Annalstext"/>
              <w:tabs>
                <w:tab w:val="clear" w:pos="502"/>
              </w:tabs>
              <w:ind w:left="0" w:firstLine="0"/>
              <w:rPr>
                <w:bCs/>
                <w:snapToGrid/>
                <w:sz w:val="20"/>
                <w:lang w:val="en-US"/>
              </w:rPr>
            </w:pPr>
            <w:r>
              <w:rPr>
                <w:bCs/>
                <w:snapToGrid/>
                <w:sz w:val="20"/>
                <w:lang w:val="en-US"/>
              </w:rPr>
              <w:t xml:space="preserve">From slightly above C1 down to T1 </w:t>
            </w:r>
          </w:p>
        </w:tc>
      </w:tr>
      <w:tr w:rsidR="00E72CA9" w14:paraId="4CF5D0BB" w14:textId="77777777">
        <w:tc>
          <w:tcPr>
            <w:tcW w:w="3330" w:type="dxa"/>
            <w:shd w:val="clear" w:color="auto" w:fill="auto"/>
          </w:tcPr>
          <w:p w14:paraId="5812F59C"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6A655835" w14:textId="77777777" w:rsidR="00E72CA9" w:rsidRDefault="00D516E3">
            <w:pPr>
              <w:pStyle w:val="Annalstext"/>
              <w:tabs>
                <w:tab w:val="clear" w:pos="502"/>
              </w:tabs>
              <w:ind w:left="0" w:firstLine="0"/>
              <w:rPr>
                <w:bCs/>
                <w:snapToGrid/>
                <w:sz w:val="20"/>
                <w:lang w:val="en-US"/>
              </w:rPr>
            </w:pPr>
            <w:r>
              <w:rPr>
                <w:bCs/>
                <w:snapToGrid/>
                <w:sz w:val="20"/>
                <w:lang w:val="en-US"/>
              </w:rPr>
              <w:t>Should include all soft tissue of the neck</w:t>
            </w:r>
          </w:p>
        </w:tc>
      </w:tr>
      <w:tr w:rsidR="00E72CA9" w14:paraId="1C6DCFFA" w14:textId="77777777">
        <w:tc>
          <w:tcPr>
            <w:tcW w:w="3330" w:type="dxa"/>
            <w:shd w:val="clear" w:color="auto" w:fill="auto"/>
          </w:tcPr>
          <w:p w14:paraId="0D5569DB"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20CABAD2" w14:textId="77777777" w:rsidR="00E72CA9" w:rsidRDefault="00D516E3">
            <w:pPr>
              <w:pStyle w:val="Annalstext"/>
              <w:tabs>
                <w:tab w:val="clear" w:pos="502"/>
              </w:tabs>
              <w:ind w:left="0" w:firstLine="0"/>
              <w:rPr>
                <w:bCs/>
                <w:snapToGrid/>
                <w:sz w:val="20"/>
                <w:lang w:val="en-US"/>
              </w:rPr>
            </w:pPr>
            <w:r>
              <w:rPr>
                <w:bCs/>
                <w:snapToGrid/>
                <w:sz w:val="20"/>
                <w:lang w:val="en-US"/>
              </w:rPr>
              <w:t>180 cm</w:t>
            </w:r>
          </w:p>
        </w:tc>
      </w:tr>
      <w:tr w:rsidR="00E72CA9" w14:paraId="5A8F31B3" w14:textId="77777777">
        <w:tc>
          <w:tcPr>
            <w:tcW w:w="3330" w:type="dxa"/>
            <w:shd w:val="clear" w:color="auto" w:fill="auto"/>
          </w:tcPr>
          <w:p w14:paraId="3BD05A73"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432AC332"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42728661" w14:textId="77777777" w:rsidR="00E72CA9" w:rsidRDefault="00D516E3">
      <w:pPr>
        <w:pStyle w:val="Annaddtxt"/>
        <w:tabs>
          <w:tab w:val="clear" w:pos="646"/>
          <w:tab w:val="left" w:pos="851"/>
        </w:tabs>
        <w:spacing w:before="120"/>
        <w:jc w:val="center"/>
      </w:pPr>
      <w:r>
        <w:rPr>
          <w:noProof/>
          <w:snapToGrid/>
          <w:lang w:val="en-US" w:eastAsia="en-US"/>
        </w:rPr>
        <w:drawing>
          <wp:inline distT="0" distB="0" distL="0" distR="0" wp14:anchorId="7CF36624" wp14:editId="20A264E5">
            <wp:extent cx="787790" cy="239120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CP-AM_Cervical spine LAT_no-organs.png"/>
                    <pic:cNvPicPr/>
                  </pic:nvPicPr>
                  <pic:blipFill>
                    <a:blip r:embed="rId68" cstate="email">
                      <a:extLst>
                        <a:ext uri="{28A0092B-C50C-407E-A947-70E740481C1C}">
                          <a14:useLocalDpi xmlns:a14="http://schemas.microsoft.com/office/drawing/2010/main"/>
                        </a:ext>
                      </a:extLst>
                    </a:blip>
                    <a:stretch>
                      <a:fillRect/>
                    </a:stretch>
                  </pic:blipFill>
                  <pic:spPr>
                    <a:xfrm>
                      <a:off x="0" y="0"/>
                      <a:ext cx="815831" cy="2476322"/>
                    </a:xfrm>
                    <a:prstGeom prst="rect">
                      <a:avLst/>
                    </a:prstGeom>
                  </pic:spPr>
                </pic:pic>
              </a:graphicData>
            </a:graphic>
          </wp:inline>
        </w:drawing>
      </w:r>
      <w:r>
        <w:rPr>
          <w:noProof/>
          <w:snapToGrid/>
          <w:lang w:val="en-US" w:eastAsia="en-US"/>
        </w:rPr>
        <w:drawing>
          <wp:inline distT="0" distB="0" distL="0" distR="0" wp14:anchorId="11057BBD" wp14:editId="1A68AD45">
            <wp:extent cx="778773" cy="2425734"/>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CP-AM_Cervical spine LAT.png"/>
                    <pic:cNvPicPr/>
                  </pic:nvPicPr>
                  <pic:blipFill>
                    <a:blip r:embed="rId69" cstate="email">
                      <a:extLst>
                        <a:ext uri="{28A0092B-C50C-407E-A947-70E740481C1C}">
                          <a14:useLocalDpi xmlns:a14="http://schemas.microsoft.com/office/drawing/2010/main"/>
                        </a:ext>
                      </a:extLst>
                    </a:blip>
                    <a:stretch>
                      <a:fillRect/>
                    </a:stretch>
                  </pic:blipFill>
                  <pic:spPr>
                    <a:xfrm>
                      <a:off x="0" y="0"/>
                      <a:ext cx="802327" cy="2499100"/>
                    </a:xfrm>
                    <a:prstGeom prst="rect">
                      <a:avLst/>
                    </a:prstGeom>
                  </pic:spPr>
                </pic:pic>
              </a:graphicData>
            </a:graphic>
          </wp:inline>
        </w:drawing>
      </w:r>
      <w:r>
        <w:rPr>
          <w:noProof/>
          <w:snapToGrid/>
          <w:lang w:val="en-US" w:eastAsia="en-US"/>
        </w:rPr>
        <w:drawing>
          <wp:inline distT="0" distB="0" distL="0" distR="0" wp14:anchorId="3CCBFEF7" wp14:editId="79012DD5">
            <wp:extent cx="747884" cy="2332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CP-AF_Cervical spine LAT_no-organs.png"/>
                    <pic:cNvPicPr/>
                  </pic:nvPicPr>
                  <pic:blipFill>
                    <a:blip r:embed="rId70" cstate="email">
                      <a:extLst>
                        <a:ext uri="{28A0092B-C50C-407E-A947-70E740481C1C}">
                          <a14:useLocalDpi xmlns:a14="http://schemas.microsoft.com/office/drawing/2010/main"/>
                        </a:ext>
                      </a:extLst>
                    </a:blip>
                    <a:stretch>
                      <a:fillRect/>
                    </a:stretch>
                  </pic:blipFill>
                  <pic:spPr>
                    <a:xfrm>
                      <a:off x="0" y="0"/>
                      <a:ext cx="762184" cy="2377355"/>
                    </a:xfrm>
                    <a:prstGeom prst="rect">
                      <a:avLst/>
                    </a:prstGeom>
                  </pic:spPr>
                </pic:pic>
              </a:graphicData>
            </a:graphic>
          </wp:inline>
        </w:drawing>
      </w:r>
      <w:r>
        <w:rPr>
          <w:noProof/>
          <w:snapToGrid/>
          <w:lang w:val="en-US" w:eastAsia="en-US"/>
        </w:rPr>
        <w:drawing>
          <wp:inline distT="0" distB="0" distL="0" distR="0" wp14:anchorId="3D4837FE" wp14:editId="1698EF9B">
            <wp:extent cx="684535" cy="2326347"/>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CP-AF_Cervical spine LAT.png"/>
                    <pic:cNvPicPr/>
                  </pic:nvPicPr>
                  <pic:blipFill>
                    <a:blip r:embed="rId71" cstate="email">
                      <a:extLst>
                        <a:ext uri="{28A0092B-C50C-407E-A947-70E740481C1C}">
                          <a14:useLocalDpi xmlns:a14="http://schemas.microsoft.com/office/drawing/2010/main"/>
                        </a:ext>
                      </a:extLst>
                    </a:blip>
                    <a:stretch>
                      <a:fillRect/>
                    </a:stretch>
                  </pic:blipFill>
                  <pic:spPr>
                    <a:xfrm>
                      <a:off x="0" y="0"/>
                      <a:ext cx="705323" cy="2396994"/>
                    </a:xfrm>
                    <a:prstGeom prst="rect">
                      <a:avLst/>
                    </a:prstGeom>
                  </pic:spPr>
                </pic:pic>
              </a:graphicData>
            </a:graphic>
          </wp:inline>
        </w:drawing>
      </w:r>
    </w:p>
    <w:p w14:paraId="3E9A15B9" w14:textId="77777777" w:rsidR="00E72CA9" w:rsidRDefault="00D516E3">
      <w:pPr>
        <w:pStyle w:val="Annaddtxt"/>
        <w:tabs>
          <w:tab w:val="clear" w:pos="646"/>
          <w:tab w:val="left" w:pos="851"/>
        </w:tabs>
        <w:spacing w:after="120"/>
        <w:rPr>
          <w:sz w:val="20"/>
        </w:rPr>
      </w:pPr>
      <w:r>
        <w:t xml:space="preserve">                                                   </w:t>
      </w:r>
      <w:r>
        <w:rPr>
          <w:sz w:val="20"/>
        </w:rPr>
        <w:t>Adult male                           Adult female</w:t>
      </w:r>
    </w:p>
    <w:p w14:paraId="384035EC" w14:textId="77777777" w:rsidR="00E72CA9" w:rsidRDefault="00D516E3">
      <w:pPr>
        <w:pStyle w:val="Annaddtxt"/>
        <w:tabs>
          <w:tab w:val="clear" w:pos="646"/>
          <w:tab w:val="left" w:pos="851"/>
        </w:tabs>
        <w:rPr>
          <w:sz w:val="22"/>
          <w:szCs w:val="22"/>
          <w:highlight w:val="yellow"/>
        </w:rPr>
      </w:pPr>
      <w:r>
        <w:rPr>
          <w:sz w:val="22"/>
          <w:szCs w:val="22"/>
        </w:rPr>
        <w:t xml:space="preserve">Fig. B.10. </w:t>
      </w:r>
      <w:proofErr w:type="spellStart"/>
      <w:r>
        <w:rPr>
          <w:sz w:val="22"/>
        </w:rPr>
        <w:t>Sagital</w:t>
      </w:r>
      <w:proofErr w:type="spellEnd"/>
      <w:r>
        <w:rPr>
          <w:sz w:val="22"/>
        </w:rPr>
        <w:t xml:space="preserve"> images at the centre of the adult male and female phantoms showing the anatomical landmarks for </w:t>
      </w:r>
      <w:r>
        <w:rPr>
          <w:sz w:val="22"/>
          <w:szCs w:val="22"/>
        </w:rPr>
        <w:t>cervical spine lateral examination</w:t>
      </w:r>
      <w:r>
        <w:rPr>
          <w:sz w:val="22"/>
        </w:rPr>
        <w:t>. Left to right: the first image shows only the skeletal landmarks and the second image adds the organs of interest.</w:t>
      </w:r>
    </w:p>
    <w:p w14:paraId="12615ECD" w14:textId="77777777" w:rsidR="00E72CA9" w:rsidRDefault="00D516E3">
      <w:pPr>
        <w:pStyle w:val="ICRPannexheading3"/>
        <w:ind w:hanging="1146"/>
        <w:rPr>
          <w:color w:val="FF0000"/>
        </w:rPr>
      </w:pPr>
      <w:r>
        <w:t>Thoracic spine anterior-posterior (AP)</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2EE4A8B9" w14:textId="77777777">
        <w:tc>
          <w:tcPr>
            <w:tcW w:w="3330" w:type="dxa"/>
            <w:shd w:val="clear" w:color="auto" w:fill="auto"/>
          </w:tcPr>
          <w:p w14:paraId="3C7E9D90"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606F74E7" w14:textId="77777777" w:rsidR="00E72CA9" w:rsidRDefault="00D516E3">
            <w:pPr>
              <w:pStyle w:val="Annalstext"/>
              <w:tabs>
                <w:tab w:val="clear" w:pos="502"/>
              </w:tabs>
              <w:ind w:left="0" w:firstLine="0"/>
              <w:rPr>
                <w:bCs/>
                <w:snapToGrid/>
                <w:sz w:val="20"/>
                <w:lang w:val="en-US"/>
              </w:rPr>
            </w:pPr>
            <w:r>
              <w:rPr>
                <w:bCs/>
                <w:snapToGrid/>
                <w:sz w:val="20"/>
                <w:lang w:val="en-US"/>
              </w:rPr>
              <w:t>From slightly above C7 down to slightly below L2</w:t>
            </w:r>
          </w:p>
        </w:tc>
      </w:tr>
      <w:tr w:rsidR="00E72CA9" w14:paraId="0DCC0979" w14:textId="77777777">
        <w:tc>
          <w:tcPr>
            <w:tcW w:w="3330" w:type="dxa"/>
            <w:shd w:val="clear" w:color="auto" w:fill="auto"/>
          </w:tcPr>
          <w:p w14:paraId="15297CC7"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73A4A147" w14:textId="77777777" w:rsidR="00E72CA9" w:rsidRDefault="00D516E3">
            <w:pPr>
              <w:pStyle w:val="Annalstext"/>
              <w:tabs>
                <w:tab w:val="clear" w:pos="502"/>
              </w:tabs>
              <w:ind w:left="0" w:firstLine="0"/>
              <w:rPr>
                <w:bCs/>
                <w:snapToGrid/>
                <w:sz w:val="20"/>
                <w:lang w:val="en-US"/>
              </w:rPr>
            </w:pPr>
            <w:r>
              <w:rPr>
                <w:bCs/>
                <w:snapToGrid/>
                <w:sz w:val="20"/>
                <w:lang w:val="en-US"/>
              </w:rPr>
              <w:t>Should include approx. 5 cm margins on either side</w:t>
            </w:r>
          </w:p>
        </w:tc>
      </w:tr>
      <w:tr w:rsidR="00E72CA9" w14:paraId="1DCA22CE" w14:textId="77777777">
        <w:tc>
          <w:tcPr>
            <w:tcW w:w="3330" w:type="dxa"/>
            <w:shd w:val="clear" w:color="auto" w:fill="auto"/>
          </w:tcPr>
          <w:p w14:paraId="679410FD"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365CB64B" w14:textId="77777777" w:rsidR="00E72CA9" w:rsidRDefault="00D516E3">
            <w:pPr>
              <w:pStyle w:val="Annalstext"/>
              <w:tabs>
                <w:tab w:val="clear" w:pos="502"/>
              </w:tabs>
              <w:ind w:left="0" w:firstLine="0"/>
              <w:rPr>
                <w:bCs/>
                <w:snapToGrid/>
                <w:sz w:val="20"/>
                <w:lang w:val="en-US"/>
              </w:rPr>
            </w:pPr>
            <w:r>
              <w:rPr>
                <w:bCs/>
                <w:snapToGrid/>
                <w:sz w:val="20"/>
                <w:lang w:val="en-US"/>
              </w:rPr>
              <w:t>100 cm</w:t>
            </w:r>
          </w:p>
        </w:tc>
      </w:tr>
      <w:tr w:rsidR="00E72CA9" w14:paraId="08FF03A2" w14:textId="77777777">
        <w:tc>
          <w:tcPr>
            <w:tcW w:w="3330" w:type="dxa"/>
            <w:shd w:val="clear" w:color="auto" w:fill="auto"/>
          </w:tcPr>
          <w:p w14:paraId="6EA5FE38"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71168BD3"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3A3B1992" w14:textId="77777777" w:rsidR="00E72CA9" w:rsidRDefault="00D516E3">
      <w:pPr>
        <w:pStyle w:val="Annaddtxt"/>
        <w:tabs>
          <w:tab w:val="clear" w:pos="646"/>
          <w:tab w:val="left" w:pos="851"/>
        </w:tabs>
        <w:spacing w:before="120"/>
        <w:jc w:val="center"/>
      </w:pPr>
      <w:r>
        <w:rPr>
          <w:noProof/>
        </w:rPr>
        <w:drawing>
          <wp:inline distT="0" distB="0" distL="0" distR="0" wp14:anchorId="042CC91B" wp14:editId="452BC256">
            <wp:extent cx="1393668" cy="2268000"/>
            <wp:effectExtent l="0" t="0" r="0" b="0"/>
            <wp:docPr id="1496949077"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1393668" cy="2268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CB398E" wp14:editId="216BCE09">
            <wp:extent cx="1402277" cy="2268000"/>
            <wp:effectExtent l="0" t="0" r="762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1402277" cy="2268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FCBF3C1" wp14:editId="0E530DB4">
            <wp:extent cx="1307435" cy="2268000"/>
            <wp:effectExtent l="0" t="0" r="762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307435" cy="2268000"/>
                    </a:xfrm>
                    <a:prstGeom prst="rect">
                      <a:avLst/>
                    </a:prstGeom>
                    <a:noFill/>
                    <a:ln>
                      <a:noFill/>
                    </a:ln>
                  </pic:spPr>
                </pic:pic>
              </a:graphicData>
            </a:graphic>
          </wp:inline>
        </w:drawing>
      </w:r>
      <w:r>
        <w:rPr>
          <w:noProof/>
        </w:rPr>
        <w:drawing>
          <wp:inline distT="0" distB="0" distL="0" distR="0" wp14:anchorId="23417D05" wp14:editId="2265FF5C">
            <wp:extent cx="1304922" cy="226800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304922" cy="2268000"/>
                    </a:xfrm>
                    <a:prstGeom prst="rect">
                      <a:avLst/>
                    </a:prstGeom>
                    <a:noFill/>
                    <a:ln>
                      <a:noFill/>
                    </a:ln>
                  </pic:spPr>
                </pic:pic>
              </a:graphicData>
            </a:graphic>
          </wp:inline>
        </w:drawing>
      </w:r>
    </w:p>
    <w:p w14:paraId="0850C6F7" w14:textId="77777777" w:rsidR="00E72CA9" w:rsidRDefault="00D516E3">
      <w:pPr>
        <w:pStyle w:val="Annaddtxt"/>
        <w:tabs>
          <w:tab w:val="clear" w:pos="646"/>
          <w:tab w:val="left" w:pos="851"/>
        </w:tabs>
        <w:spacing w:after="120"/>
        <w:rPr>
          <w:sz w:val="20"/>
        </w:rPr>
      </w:pPr>
      <w:r>
        <w:rPr>
          <w:sz w:val="20"/>
        </w:rPr>
        <w:t xml:space="preserve">                                         Adult male                                                                Adult female</w:t>
      </w:r>
    </w:p>
    <w:p w14:paraId="1DEDABCD" w14:textId="77777777" w:rsidR="00E72CA9" w:rsidRDefault="00D516E3">
      <w:pPr>
        <w:pStyle w:val="Annaddtxt"/>
        <w:tabs>
          <w:tab w:val="clear" w:pos="646"/>
          <w:tab w:val="left" w:pos="851"/>
        </w:tabs>
        <w:rPr>
          <w:sz w:val="22"/>
        </w:rPr>
      </w:pPr>
      <w:r>
        <w:rPr>
          <w:sz w:val="22"/>
          <w:szCs w:val="22"/>
        </w:rPr>
        <w:t xml:space="preserve">Fig. B.11. </w:t>
      </w:r>
      <w:r>
        <w:rPr>
          <w:sz w:val="22"/>
        </w:rPr>
        <w:t xml:space="preserve">Coronal images at the centre of the adult male and female phantoms showing the anatomical landmarks for </w:t>
      </w:r>
      <w:r>
        <w:rPr>
          <w:sz w:val="22"/>
          <w:szCs w:val="22"/>
        </w:rPr>
        <w:t>thoracic spine anterior-posterior examination</w:t>
      </w:r>
      <w:r>
        <w:rPr>
          <w:sz w:val="22"/>
        </w:rPr>
        <w:t>. Left to right: the first image shows only the skeletal landmarks and the second image adds the organs of interest.</w:t>
      </w:r>
      <w:r>
        <w:rPr>
          <w:sz w:val="22"/>
        </w:rPr>
        <w:br w:type="page"/>
      </w:r>
    </w:p>
    <w:p w14:paraId="41E4A88C" w14:textId="77777777" w:rsidR="00E72CA9" w:rsidRDefault="00D516E3">
      <w:pPr>
        <w:pStyle w:val="ICRPannexheading3"/>
        <w:ind w:hanging="1146"/>
      </w:pPr>
      <w:r>
        <w:lastRenderedPageBreak/>
        <w:t xml:space="preserve">Thoracic spine lateral (Lat) </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2D3A8A71" w14:textId="77777777">
        <w:tc>
          <w:tcPr>
            <w:tcW w:w="3330" w:type="dxa"/>
            <w:shd w:val="clear" w:color="auto" w:fill="auto"/>
          </w:tcPr>
          <w:p w14:paraId="7C22CADD"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5DCD6F7A" w14:textId="77777777" w:rsidR="00E72CA9" w:rsidRDefault="00D516E3">
            <w:pPr>
              <w:pStyle w:val="Annalstext"/>
              <w:tabs>
                <w:tab w:val="clear" w:pos="502"/>
              </w:tabs>
              <w:ind w:left="0" w:firstLine="0"/>
              <w:rPr>
                <w:bCs/>
                <w:snapToGrid/>
                <w:sz w:val="20"/>
                <w:lang w:val="en-US"/>
              </w:rPr>
            </w:pPr>
            <w:r>
              <w:rPr>
                <w:bCs/>
                <w:snapToGrid/>
                <w:sz w:val="20"/>
                <w:lang w:val="en-US"/>
              </w:rPr>
              <w:t>From slightly above C7 down to slightly below L2</w:t>
            </w:r>
          </w:p>
        </w:tc>
      </w:tr>
      <w:tr w:rsidR="00E72CA9" w14:paraId="094D86FE" w14:textId="77777777">
        <w:tc>
          <w:tcPr>
            <w:tcW w:w="3330" w:type="dxa"/>
            <w:shd w:val="clear" w:color="auto" w:fill="auto"/>
          </w:tcPr>
          <w:p w14:paraId="39DDD2D7"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0DEE4804" w14:textId="77777777" w:rsidR="00E72CA9" w:rsidRDefault="00D516E3">
            <w:pPr>
              <w:pStyle w:val="Annalstext"/>
              <w:tabs>
                <w:tab w:val="clear" w:pos="502"/>
              </w:tabs>
              <w:ind w:left="0" w:firstLine="0"/>
              <w:rPr>
                <w:bCs/>
                <w:snapToGrid/>
                <w:sz w:val="20"/>
                <w:lang w:val="en-US"/>
              </w:rPr>
            </w:pPr>
            <w:r>
              <w:rPr>
                <w:bCs/>
                <w:snapToGrid/>
                <w:sz w:val="20"/>
                <w:lang w:val="en-US"/>
              </w:rPr>
              <w:t xml:space="preserve">Field </w:t>
            </w:r>
            <w:proofErr w:type="spellStart"/>
            <w:r>
              <w:rPr>
                <w:bCs/>
                <w:snapToGrid/>
                <w:sz w:val="20"/>
                <w:lang w:val="en-US"/>
              </w:rPr>
              <w:t>centre</w:t>
            </w:r>
            <w:proofErr w:type="spellEnd"/>
            <w:r>
              <w:rPr>
                <w:bCs/>
                <w:snapToGrid/>
                <w:sz w:val="20"/>
                <w:lang w:val="en-US"/>
              </w:rPr>
              <w:t xml:space="preserve"> should be approx. 5 cm anterior to spinous process of T6/7</w:t>
            </w:r>
          </w:p>
        </w:tc>
      </w:tr>
      <w:tr w:rsidR="00E72CA9" w14:paraId="2B0BF544" w14:textId="77777777">
        <w:tc>
          <w:tcPr>
            <w:tcW w:w="3330" w:type="dxa"/>
            <w:shd w:val="clear" w:color="auto" w:fill="auto"/>
          </w:tcPr>
          <w:p w14:paraId="7E4060F6"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06D4C165" w14:textId="77777777" w:rsidR="00E72CA9" w:rsidRDefault="00D516E3">
            <w:pPr>
              <w:pStyle w:val="Annalstext"/>
              <w:tabs>
                <w:tab w:val="clear" w:pos="502"/>
              </w:tabs>
              <w:ind w:left="0" w:firstLine="0"/>
              <w:rPr>
                <w:bCs/>
                <w:snapToGrid/>
                <w:sz w:val="20"/>
                <w:lang w:val="en-US"/>
              </w:rPr>
            </w:pPr>
            <w:r>
              <w:rPr>
                <w:bCs/>
                <w:snapToGrid/>
                <w:sz w:val="20"/>
                <w:lang w:val="en-US"/>
              </w:rPr>
              <w:t>100 cm</w:t>
            </w:r>
          </w:p>
        </w:tc>
      </w:tr>
      <w:tr w:rsidR="00E72CA9" w14:paraId="502C591E" w14:textId="77777777">
        <w:tc>
          <w:tcPr>
            <w:tcW w:w="3330" w:type="dxa"/>
            <w:shd w:val="clear" w:color="auto" w:fill="auto"/>
          </w:tcPr>
          <w:p w14:paraId="04CD06AD"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4885CD93" w14:textId="77777777" w:rsidR="00E72CA9" w:rsidRDefault="00D516E3">
            <w:pPr>
              <w:pStyle w:val="Annalstext"/>
              <w:tabs>
                <w:tab w:val="clear" w:pos="502"/>
              </w:tabs>
              <w:ind w:left="0" w:firstLine="0"/>
              <w:rPr>
                <w:bCs/>
                <w:snapToGrid/>
                <w:sz w:val="20"/>
                <w:lang w:val="en-US"/>
              </w:rPr>
            </w:pPr>
            <w:r>
              <w:rPr>
                <w:bCs/>
                <w:snapToGrid/>
                <w:sz w:val="20"/>
                <w:lang w:val="en-US"/>
              </w:rPr>
              <w:t>10 cm (grid)</w:t>
            </w:r>
          </w:p>
        </w:tc>
      </w:tr>
    </w:tbl>
    <w:p w14:paraId="5063B022" w14:textId="77777777" w:rsidR="00E72CA9" w:rsidRDefault="00D516E3">
      <w:pPr>
        <w:pStyle w:val="Annaddtxt"/>
        <w:tabs>
          <w:tab w:val="clear" w:pos="646"/>
          <w:tab w:val="left" w:pos="851"/>
        </w:tabs>
        <w:spacing w:before="120"/>
        <w:jc w:val="center"/>
      </w:pPr>
      <w:r>
        <w:rPr>
          <w:noProof/>
          <w:snapToGrid/>
          <w:lang w:val="en-US" w:eastAsia="en-US"/>
        </w:rPr>
        <w:drawing>
          <wp:inline distT="0" distB="0" distL="0" distR="0" wp14:anchorId="3E023E65" wp14:editId="77207796">
            <wp:extent cx="801737" cy="2396888"/>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CP-AM_Thoracic spine LAT_no-organs.png"/>
                    <pic:cNvPicPr/>
                  </pic:nvPicPr>
                  <pic:blipFill>
                    <a:blip r:embed="rId76" cstate="email">
                      <a:extLst>
                        <a:ext uri="{28A0092B-C50C-407E-A947-70E740481C1C}">
                          <a14:useLocalDpi xmlns:a14="http://schemas.microsoft.com/office/drawing/2010/main"/>
                        </a:ext>
                      </a:extLst>
                    </a:blip>
                    <a:stretch>
                      <a:fillRect/>
                    </a:stretch>
                  </pic:blipFill>
                  <pic:spPr>
                    <a:xfrm>
                      <a:off x="0" y="0"/>
                      <a:ext cx="829019" cy="2478452"/>
                    </a:xfrm>
                    <a:prstGeom prst="rect">
                      <a:avLst/>
                    </a:prstGeom>
                  </pic:spPr>
                </pic:pic>
              </a:graphicData>
            </a:graphic>
          </wp:inline>
        </w:drawing>
      </w:r>
      <w:r>
        <w:rPr>
          <w:noProof/>
          <w:snapToGrid/>
          <w:lang w:val="en-US" w:eastAsia="en-US"/>
        </w:rPr>
        <w:drawing>
          <wp:inline distT="0" distB="0" distL="0" distR="0" wp14:anchorId="3398BFF6" wp14:editId="06090D9F">
            <wp:extent cx="756364" cy="2387795"/>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CP-AM_Thoracic spine LAT.png"/>
                    <pic:cNvPicPr/>
                  </pic:nvPicPr>
                  <pic:blipFill>
                    <a:blip r:embed="rId77" cstate="email">
                      <a:extLst>
                        <a:ext uri="{28A0092B-C50C-407E-A947-70E740481C1C}">
                          <a14:useLocalDpi xmlns:a14="http://schemas.microsoft.com/office/drawing/2010/main"/>
                        </a:ext>
                      </a:extLst>
                    </a:blip>
                    <a:stretch>
                      <a:fillRect/>
                    </a:stretch>
                  </pic:blipFill>
                  <pic:spPr>
                    <a:xfrm>
                      <a:off x="0" y="0"/>
                      <a:ext cx="775352" cy="2447739"/>
                    </a:xfrm>
                    <a:prstGeom prst="rect">
                      <a:avLst/>
                    </a:prstGeom>
                  </pic:spPr>
                </pic:pic>
              </a:graphicData>
            </a:graphic>
          </wp:inline>
        </w:drawing>
      </w:r>
      <w:r>
        <w:rPr>
          <w:noProof/>
          <w:snapToGrid/>
          <w:lang w:val="en-US" w:eastAsia="en-US"/>
        </w:rPr>
        <w:drawing>
          <wp:inline distT="0" distB="0" distL="0" distR="0" wp14:anchorId="245C4AA8" wp14:editId="03A8C3DC">
            <wp:extent cx="731520" cy="238634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CP-AF_Thoracic spine LAT_no-organs.png"/>
                    <pic:cNvPicPr/>
                  </pic:nvPicPr>
                  <pic:blipFill>
                    <a:blip r:embed="rId78" cstate="email">
                      <a:extLst>
                        <a:ext uri="{28A0092B-C50C-407E-A947-70E740481C1C}">
                          <a14:useLocalDpi xmlns:a14="http://schemas.microsoft.com/office/drawing/2010/main"/>
                        </a:ext>
                      </a:extLst>
                    </a:blip>
                    <a:stretch>
                      <a:fillRect/>
                    </a:stretch>
                  </pic:blipFill>
                  <pic:spPr>
                    <a:xfrm>
                      <a:off x="0" y="0"/>
                      <a:ext cx="761956" cy="2485633"/>
                    </a:xfrm>
                    <a:prstGeom prst="rect">
                      <a:avLst/>
                    </a:prstGeom>
                  </pic:spPr>
                </pic:pic>
              </a:graphicData>
            </a:graphic>
          </wp:inline>
        </w:drawing>
      </w:r>
      <w:r>
        <w:rPr>
          <w:noProof/>
          <w:snapToGrid/>
          <w:lang w:val="en-US" w:eastAsia="en-US"/>
        </w:rPr>
        <w:drawing>
          <wp:inline distT="0" distB="0" distL="0" distR="0" wp14:anchorId="7C6E8491" wp14:editId="36E0B0FA">
            <wp:extent cx="741635" cy="2383629"/>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CP-AF_Thoracic spine LAT.png"/>
                    <pic:cNvPicPr/>
                  </pic:nvPicPr>
                  <pic:blipFill>
                    <a:blip r:embed="rId79" cstate="email">
                      <a:extLst>
                        <a:ext uri="{28A0092B-C50C-407E-A947-70E740481C1C}">
                          <a14:useLocalDpi xmlns:a14="http://schemas.microsoft.com/office/drawing/2010/main"/>
                        </a:ext>
                      </a:extLst>
                    </a:blip>
                    <a:stretch>
                      <a:fillRect/>
                    </a:stretch>
                  </pic:blipFill>
                  <pic:spPr>
                    <a:xfrm>
                      <a:off x="0" y="0"/>
                      <a:ext cx="760048" cy="2442808"/>
                    </a:xfrm>
                    <a:prstGeom prst="rect">
                      <a:avLst/>
                    </a:prstGeom>
                  </pic:spPr>
                </pic:pic>
              </a:graphicData>
            </a:graphic>
          </wp:inline>
        </w:drawing>
      </w:r>
    </w:p>
    <w:p w14:paraId="1B68F932" w14:textId="77777777" w:rsidR="00E72CA9" w:rsidRDefault="00D516E3">
      <w:pPr>
        <w:pStyle w:val="Annaddtxt"/>
        <w:tabs>
          <w:tab w:val="clear" w:pos="646"/>
          <w:tab w:val="left" w:pos="851"/>
        </w:tabs>
        <w:spacing w:after="120"/>
        <w:rPr>
          <w:sz w:val="20"/>
        </w:rPr>
      </w:pPr>
      <w:r>
        <w:t xml:space="preserve">                                                  </w:t>
      </w:r>
      <w:r>
        <w:rPr>
          <w:sz w:val="20"/>
        </w:rPr>
        <w:t>Adult male                            Adult female</w:t>
      </w:r>
    </w:p>
    <w:p w14:paraId="252CBBC6" w14:textId="77777777" w:rsidR="00E72CA9" w:rsidRDefault="00D516E3">
      <w:pPr>
        <w:pStyle w:val="Annaddtxt"/>
        <w:tabs>
          <w:tab w:val="clear" w:pos="646"/>
          <w:tab w:val="left" w:pos="851"/>
        </w:tabs>
        <w:rPr>
          <w:sz w:val="22"/>
          <w:szCs w:val="22"/>
          <w:highlight w:val="yellow"/>
        </w:rPr>
      </w:pPr>
      <w:r>
        <w:rPr>
          <w:sz w:val="22"/>
          <w:szCs w:val="22"/>
        </w:rPr>
        <w:t xml:space="preserve">Fig. B.12. </w:t>
      </w:r>
      <w:proofErr w:type="spellStart"/>
      <w:r>
        <w:rPr>
          <w:sz w:val="22"/>
        </w:rPr>
        <w:t>Sagital</w:t>
      </w:r>
      <w:proofErr w:type="spellEnd"/>
      <w:r>
        <w:rPr>
          <w:sz w:val="22"/>
        </w:rPr>
        <w:t xml:space="preserve"> images at the centre of the adult male and female phantoms showing the anatomical landmarks for </w:t>
      </w:r>
      <w:r>
        <w:rPr>
          <w:sz w:val="22"/>
          <w:szCs w:val="22"/>
        </w:rPr>
        <w:t>thoracic spine lateral examination</w:t>
      </w:r>
      <w:r>
        <w:rPr>
          <w:sz w:val="22"/>
        </w:rPr>
        <w:t>. Left to right: the first image shows only the skeletal landmarks and the second image adds the organs of interest.</w:t>
      </w:r>
    </w:p>
    <w:p w14:paraId="402C4EC8" w14:textId="77777777" w:rsidR="00E72CA9" w:rsidRDefault="00D516E3">
      <w:pPr>
        <w:pStyle w:val="ICRPannexheading2"/>
        <w:ind w:left="578" w:hanging="578"/>
        <w:outlineLvl w:val="1"/>
      </w:pPr>
      <w:bookmarkStart w:id="208" w:name="_Toc158293674"/>
      <w:bookmarkStart w:id="209" w:name="_Toc165302063"/>
      <w:r>
        <w:t>Paediatric radiography</w:t>
      </w:r>
      <w:bookmarkEnd w:id="208"/>
      <w:bookmarkEnd w:id="209"/>
    </w:p>
    <w:p w14:paraId="7ED71CCE" w14:textId="77777777" w:rsidR="00E72CA9" w:rsidRDefault="00D516E3">
      <w:pPr>
        <w:pStyle w:val="Annaddtxt"/>
        <w:tabs>
          <w:tab w:val="clear" w:pos="646"/>
          <w:tab w:val="left" w:pos="851"/>
        </w:tabs>
        <w:ind w:firstLine="284"/>
      </w:pPr>
      <w:r>
        <w:t xml:space="preserve">(A6) For many examinations in paediatric radiography, anti-scatter grids are only used if the patient has at least a certain patient thickness </w:t>
      </w:r>
      <w:r>
        <w:fldChar w:fldCharType="begin"/>
      </w:r>
      <w: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fldChar w:fldCharType="separate"/>
      </w:r>
      <w:r>
        <w:rPr>
          <w:noProof/>
        </w:rPr>
        <w:t>(Knight, 2014)</w:t>
      </w:r>
      <w:r>
        <w:fldChar w:fldCharType="end"/>
      </w:r>
      <w:r>
        <w:t>. Hence, the skin to detector distance (SDD) depends on the age of the reference computational phantoms.</w:t>
      </w:r>
    </w:p>
    <w:p w14:paraId="1D78F5FC" w14:textId="77777777" w:rsidR="00E72CA9" w:rsidRDefault="00D516E3">
      <w:pPr>
        <w:pStyle w:val="Annaddtxt"/>
        <w:tabs>
          <w:tab w:val="clear" w:pos="646"/>
          <w:tab w:val="left" w:pos="851"/>
        </w:tabs>
        <w:ind w:firstLine="284"/>
      </w:pPr>
      <w:r>
        <w:t>(A7) The male and female newborn, 1-, 5-, and 10-year-old phantoms are anatomically identical, except for their gender-specific organs and urinary bladder. Hence, for these ages only the male phantoms are shown in the following illustrations.</w:t>
      </w:r>
      <w:r>
        <w:br w:type="page"/>
      </w:r>
    </w:p>
    <w:p w14:paraId="448194CC" w14:textId="77777777" w:rsidR="00E72CA9" w:rsidRDefault="00D516E3">
      <w:pPr>
        <w:pStyle w:val="ICRPannexheading3"/>
        <w:ind w:hanging="1146"/>
      </w:pPr>
      <w:r>
        <w:lastRenderedPageBreak/>
        <w:t>Chest anterior-posterior (AP)</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79E39194" w14:textId="77777777">
        <w:tc>
          <w:tcPr>
            <w:tcW w:w="3330" w:type="dxa"/>
            <w:shd w:val="clear" w:color="auto" w:fill="auto"/>
          </w:tcPr>
          <w:p w14:paraId="3A361E31"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49310D99" w14:textId="77777777" w:rsidR="00E72CA9" w:rsidRDefault="00D516E3">
            <w:pPr>
              <w:pStyle w:val="Annalstext"/>
              <w:tabs>
                <w:tab w:val="clear" w:pos="502"/>
              </w:tabs>
              <w:ind w:left="0" w:firstLine="0"/>
              <w:rPr>
                <w:bCs/>
                <w:snapToGrid/>
                <w:sz w:val="20"/>
                <w:lang w:val="en-US"/>
              </w:rPr>
            </w:pPr>
            <w:r>
              <w:rPr>
                <w:bCs/>
                <w:snapToGrid/>
                <w:sz w:val="20"/>
                <w:lang w:val="en-US"/>
              </w:rPr>
              <w:t xml:space="preserve">Extends from ca. 1 cm above clavicles and scapulae, down to lateral bottom of the rib cage (10th rib, </w:t>
            </w:r>
            <w:proofErr w:type="spellStart"/>
            <w:r>
              <w:rPr>
                <w:bCs/>
                <w:snapToGrid/>
                <w:sz w:val="20"/>
                <w:lang w:val="en-US"/>
              </w:rPr>
              <w:t>costo</w:t>
            </w:r>
            <w:proofErr w:type="spellEnd"/>
            <w:r>
              <w:rPr>
                <w:bCs/>
                <w:snapToGrid/>
                <w:sz w:val="20"/>
                <w:lang w:val="en-US"/>
              </w:rPr>
              <w:t>-phrenic angles)</w:t>
            </w:r>
          </w:p>
        </w:tc>
      </w:tr>
      <w:tr w:rsidR="00E72CA9" w14:paraId="503DBC03" w14:textId="77777777">
        <w:tc>
          <w:tcPr>
            <w:tcW w:w="3330" w:type="dxa"/>
            <w:shd w:val="clear" w:color="auto" w:fill="auto"/>
          </w:tcPr>
          <w:p w14:paraId="2A54C34B"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10D4D6B6" w14:textId="77777777" w:rsidR="00E72CA9" w:rsidRDefault="00D516E3">
            <w:pPr>
              <w:pStyle w:val="Annalstext"/>
              <w:tabs>
                <w:tab w:val="clear" w:pos="502"/>
              </w:tabs>
              <w:ind w:left="0" w:firstLine="0"/>
              <w:rPr>
                <w:bCs/>
                <w:snapToGrid/>
                <w:sz w:val="20"/>
                <w:lang w:val="en-US"/>
              </w:rPr>
            </w:pPr>
            <w:r>
              <w:rPr>
                <w:bCs/>
                <w:snapToGrid/>
                <w:sz w:val="20"/>
                <w:lang w:val="en-US"/>
              </w:rPr>
              <w:t>Includes at least skin margins (in non-obese reference phantoms) and medial part (half) of the humeral head</w:t>
            </w:r>
          </w:p>
        </w:tc>
      </w:tr>
      <w:tr w:rsidR="00E72CA9" w14:paraId="53AF0D88" w14:textId="77777777">
        <w:tc>
          <w:tcPr>
            <w:tcW w:w="3330" w:type="dxa"/>
            <w:shd w:val="clear" w:color="auto" w:fill="auto"/>
          </w:tcPr>
          <w:p w14:paraId="6B62AC42"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437752C4" w14:textId="77777777" w:rsidR="00E72CA9" w:rsidRDefault="00D516E3">
            <w:pPr>
              <w:pStyle w:val="Annalstext"/>
              <w:tabs>
                <w:tab w:val="clear" w:pos="502"/>
              </w:tabs>
              <w:ind w:left="0" w:firstLine="0"/>
              <w:rPr>
                <w:bCs/>
                <w:snapToGrid/>
                <w:sz w:val="20"/>
                <w:lang w:val="en-US"/>
              </w:rPr>
            </w:pPr>
            <w:r>
              <w:rPr>
                <w:bCs/>
                <w:snapToGrid/>
                <w:sz w:val="20"/>
                <w:lang w:val="en-US"/>
              </w:rPr>
              <w:t>100 cm</w:t>
            </w:r>
          </w:p>
        </w:tc>
      </w:tr>
      <w:tr w:rsidR="00E72CA9" w14:paraId="6B47DF35" w14:textId="77777777">
        <w:tc>
          <w:tcPr>
            <w:tcW w:w="3330" w:type="dxa"/>
            <w:shd w:val="clear" w:color="auto" w:fill="auto"/>
          </w:tcPr>
          <w:p w14:paraId="7DA6FC8F"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0A33F835" w14:textId="77777777" w:rsidR="00E72CA9" w:rsidRDefault="00D516E3">
            <w:pPr>
              <w:pStyle w:val="Annalstext"/>
              <w:tabs>
                <w:tab w:val="clear" w:pos="502"/>
              </w:tabs>
              <w:ind w:left="0" w:firstLine="0"/>
              <w:rPr>
                <w:bCs/>
                <w:snapToGrid/>
                <w:sz w:val="20"/>
                <w:lang w:val="en-US"/>
              </w:rPr>
            </w:pPr>
            <w:r>
              <w:rPr>
                <w:bCs/>
                <w:snapToGrid/>
                <w:sz w:val="20"/>
                <w:lang w:val="en-US"/>
              </w:rPr>
              <w:t xml:space="preserve">Anti-scatter grid for patient thickness of at least 20 cm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r>
              <w:rPr>
                <w:bCs/>
                <w:snapToGrid/>
                <w:sz w:val="20"/>
                <w:lang w:val="en-US"/>
              </w:rPr>
              <w:t xml:space="preserve">. 0 cm (no grid) for newborn, 1-year and 5-year old </w:t>
            </w:r>
          </w:p>
          <w:p w14:paraId="06C5BF48" w14:textId="77777777" w:rsidR="00E72CA9" w:rsidRDefault="00D516E3">
            <w:pPr>
              <w:pStyle w:val="Annalstext"/>
              <w:tabs>
                <w:tab w:val="clear" w:pos="502"/>
              </w:tabs>
              <w:ind w:left="0" w:firstLine="0"/>
              <w:rPr>
                <w:bCs/>
                <w:snapToGrid/>
                <w:sz w:val="20"/>
                <w:lang w:val="en-US"/>
              </w:rPr>
            </w:pPr>
            <w:r>
              <w:rPr>
                <w:bCs/>
                <w:snapToGrid/>
                <w:sz w:val="20"/>
                <w:lang w:val="en-US"/>
              </w:rPr>
              <w:t>10 cm (grid) for 10-year and 15-year old</w:t>
            </w:r>
          </w:p>
        </w:tc>
      </w:tr>
    </w:tbl>
    <w:p w14:paraId="3F4ADAFB"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64F23BDD" wp14:editId="3BEF6D58">
            <wp:extent cx="1377501" cy="273600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CP-00M_Chest AP_no-organs.png"/>
                    <pic:cNvPicPr/>
                  </pic:nvPicPr>
                  <pic:blipFill>
                    <a:blip r:embed="rId80" cstate="email">
                      <a:extLst>
                        <a:ext uri="{28A0092B-C50C-407E-A947-70E740481C1C}">
                          <a14:useLocalDpi xmlns:a14="http://schemas.microsoft.com/office/drawing/2010/main"/>
                        </a:ext>
                      </a:extLst>
                    </a:blip>
                    <a:stretch>
                      <a:fillRect/>
                    </a:stretch>
                  </pic:blipFill>
                  <pic:spPr>
                    <a:xfrm>
                      <a:off x="0" y="0"/>
                      <a:ext cx="1377501" cy="2736000"/>
                    </a:xfrm>
                    <a:prstGeom prst="rect">
                      <a:avLst/>
                    </a:prstGeom>
                  </pic:spPr>
                </pic:pic>
              </a:graphicData>
            </a:graphic>
          </wp:inline>
        </w:drawing>
      </w:r>
      <w:r>
        <w:rPr>
          <w:noProof/>
          <w:snapToGrid/>
          <w:lang w:val="en-US" w:eastAsia="en-US"/>
        </w:rPr>
        <w:drawing>
          <wp:inline distT="0" distB="0" distL="0" distR="0" wp14:anchorId="6B429D8F" wp14:editId="75A379EC">
            <wp:extent cx="1269310" cy="2700000"/>
            <wp:effectExtent l="0" t="0" r="762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CP-00M_Chest AP.png"/>
                    <pic:cNvPicPr/>
                  </pic:nvPicPr>
                  <pic:blipFill>
                    <a:blip r:embed="rId81" cstate="email">
                      <a:extLst>
                        <a:ext uri="{28A0092B-C50C-407E-A947-70E740481C1C}">
                          <a14:useLocalDpi xmlns:a14="http://schemas.microsoft.com/office/drawing/2010/main"/>
                        </a:ext>
                      </a:extLst>
                    </a:blip>
                    <a:stretch>
                      <a:fillRect/>
                    </a:stretch>
                  </pic:blipFill>
                  <pic:spPr>
                    <a:xfrm>
                      <a:off x="0" y="0"/>
                      <a:ext cx="1269310" cy="2700000"/>
                    </a:xfrm>
                    <a:prstGeom prst="rect">
                      <a:avLst/>
                    </a:prstGeom>
                  </pic:spPr>
                </pic:pic>
              </a:graphicData>
            </a:graphic>
          </wp:inline>
        </w:drawing>
      </w:r>
      <w:r>
        <w:rPr>
          <w:noProof/>
          <w:snapToGrid/>
          <w:lang w:val="en-US" w:eastAsia="en-US"/>
        </w:rPr>
        <w:drawing>
          <wp:inline distT="0" distB="0" distL="0" distR="0" wp14:anchorId="1B89400F" wp14:editId="7B6B3385">
            <wp:extent cx="1198609" cy="288000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CP-01M_Chest AP_no-organs.png"/>
                    <pic:cNvPicPr/>
                  </pic:nvPicPr>
                  <pic:blipFill>
                    <a:blip r:embed="rId82" cstate="email">
                      <a:extLst>
                        <a:ext uri="{28A0092B-C50C-407E-A947-70E740481C1C}">
                          <a14:useLocalDpi xmlns:a14="http://schemas.microsoft.com/office/drawing/2010/main"/>
                        </a:ext>
                      </a:extLst>
                    </a:blip>
                    <a:stretch>
                      <a:fillRect/>
                    </a:stretch>
                  </pic:blipFill>
                  <pic:spPr>
                    <a:xfrm>
                      <a:off x="0" y="0"/>
                      <a:ext cx="1198609" cy="2880000"/>
                    </a:xfrm>
                    <a:prstGeom prst="rect">
                      <a:avLst/>
                    </a:prstGeom>
                  </pic:spPr>
                </pic:pic>
              </a:graphicData>
            </a:graphic>
          </wp:inline>
        </w:drawing>
      </w:r>
      <w:r>
        <w:rPr>
          <w:noProof/>
          <w:snapToGrid/>
          <w:lang w:val="en-US" w:eastAsia="en-US"/>
        </w:rPr>
        <w:drawing>
          <wp:inline distT="0" distB="0" distL="0" distR="0" wp14:anchorId="5AA47EBC" wp14:editId="739ED13A">
            <wp:extent cx="1161986" cy="2880000"/>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CP-01M_Chest AP.png"/>
                    <pic:cNvPicPr/>
                  </pic:nvPicPr>
                  <pic:blipFill>
                    <a:blip r:embed="rId83" cstate="email">
                      <a:extLst>
                        <a:ext uri="{28A0092B-C50C-407E-A947-70E740481C1C}">
                          <a14:useLocalDpi xmlns:a14="http://schemas.microsoft.com/office/drawing/2010/main"/>
                        </a:ext>
                      </a:extLst>
                    </a:blip>
                    <a:stretch>
                      <a:fillRect/>
                    </a:stretch>
                  </pic:blipFill>
                  <pic:spPr>
                    <a:xfrm>
                      <a:off x="0" y="0"/>
                      <a:ext cx="1161986" cy="2880000"/>
                    </a:xfrm>
                    <a:prstGeom prst="rect">
                      <a:avLst/>
                    </a:prstGeom>
                  </pic:spPr>
                </pic:pic>
              </a:graphicData>
            </a:graphic>
          </wp:inline>
        </w:drawing>
      </w:r>
    </w:p>
    <w:p w14:paraId="35BFAA39" w14:textId="77777777" w:rsidR="00E72CA9" w:rsidRDefault="00D516E3">
      <w:pPr>
        <w:pStyle w:val="Annaddtxt"/>
        <w:tabs>
          <w:tab w:val="clear" w:pos="646"/>
          <w:tab w:val="left" w:pos="851"/>
        </w:tabs>
        <w:rPr>
          <w:sz w:val="20"/>
        </w:rPr>
      </w:pPr>
      <w:r>
        <w:t xml:space="preserve">                                       </w:t>
      </w:r>
      <w:r>
        <w:rPr>
          <w:sz w:val="20"/>
        </w:rPr>
        <w:t xml:space="preserve">Newborn </w:t>
      </w:r>
      <w:r>
        <w:rPr>
          <w:sz w:val="20"/>
        </w:rPr>
        <w:tab/>
      </w:r>
      <w:r>
        <w:rPr>
          <w:sz w:val="20"/>
        </w:rPr>
        <w:tab/>
      </w:r>
      <w:r>
        <w:rPr>
          <w:sz w:val="20"/>
        </w:rPr>
        <w:tab/>
      </w:r>
      <w:r>
        <w:rPr>
          <w:sz w:val="20"/>
        </w:rPr>
        <w:tab/>
        <w:t xml:space="preserve">          1-year old</w:t>
      </w:r>
    </w:p>
    <w:p w14:paraId="14F21AC9"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2ECDA398" wp14:editId="2209CC12">
            <wp:extent cx="1323800" cy="2556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CP-05M_Chest AP_no-organs.png"/>
                    <pic:cNvPicPr/>
                  </pic:nvPicPr>
                  <pic:blipFill>
                    <a:blip r:embed="rId84" cstate="email">
                      <a:extLst>
                        <a:ext uri="{28A0092B-C50C-407E-A947-70E740481C1C}">
                          <a14:useLocalDpi xmlns:a14="http://schemas.microsoft.com/office/drawing/2010/main"/>
                        </a:ext>
                      </a:extLst>
                    </a:blip>
                    <a:stretch>
                      <a:fillRect/>
                    </a:stretch>
                  </pic:blipFill>
                  <pic:spPr>
                    <a:xfrm>
                      <a:off x="0" y="0"/>
                      <a:ext cx="1323800" cy="2556000"/>
                    </a:xfrm>
                    <a:prstGeom prst="rect">
                      <a:avLst/>
                    </a:prstGeom>
                  </pic:spPr>
                </pic:pic>
              </a:graphicData>
            </a:graphic>
          </wp:inline>
        </w:drawing>
      </w:r>
      <w:r>
        <w:rPr>
          <w:noProof/>
          <w:snapToGrid/>
          <w:lang w:val="en-US" w:eastAsia="en-US"/>
        </w:rPr>
        <w:drawing>
          <wp:inline distT="0" distB="0" distL="0" distR="0" wp14:anchorId="6CE69DD0" wp14:editId="66411525">
            <wp:extent cx="1249995" cy="2556000"/>
            <wp:effectExtent l="0" t="0" r="762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RCP-05M_Chest AP.png"/>
                    <pic:cNvPicPr/>
                  </pic:nvPicPr>
                  <pic:blipFill>
                    <a:blip r:embed="rId85" cstate="email">
                      <a:extLst>
                        <a:ext uri="{28A0092B-C50C-407E-A947-70E740481C1C}">
                          <a14:useLocalDpi xmlns:a14="http://schemas.microsoft.com/office/drawing/2010/main"/>
                        </a:ext>
                      </a:extLst>
                    </a:blip>
                    <a:stretch>
                      <a:fillRect/>
                    </a:stretch>
                  </pic:blipFill>
                  <pic:spPr>
                    <a:xfrm>
                      <a:off x="0" y="0"/>
                      <a:ext cx="1249995" cy="2556000"/>
                    </a:xfrm>
                    <a:prstGeom prst="rect">
                      <a:avLst/>
                    </a:prstGeom>
                  </pic:spPr>
                </pic:pic>
              </a:graphicData>
            </a:graphic>
          </wp:inline>
        </w:drawing>
      </w:r>
      <w:r>
        <w:rPr>
          <w:noProof/>
          <w:snapToGrid/>
          <w:lang w:val="en-US" w:eastAsia="en-US"/>
        </w:rPr>
        <w:drawing>
          <wp:inline distT="0" distB="0" distL="0" distR="0" wp14:anchorId="69D50B86" wp14:editId="2D2800C7">
            <wp:extent cx="1401982" cy="25920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CP-10M_Chest AP_no-organs.png"/>
                    <pic:cNvPicPr/>
                  </pic:nvPicPr>
                  <pic:blipFill>
                    <a:blip r:embed="rId86" cstate="email">
                      <a:extLst>
                        <a:ext uri="{28A0092B-C50C-407E-A947-70E740481C1C}">
                          <a14:useLocalDpi xmlns:a14="http://schemas.microsoft.com/office/drawing/2010/main"/>
                        </a:ext>
                      </a:extLst>
                    </a:blip>
                    <a:stretch>
                      <a:fillRect/>
                    </a:stretch>
                  </pic:blipFill>
                  <pic:spPr>
                    <a:xfrm>
                      <a:off x="0" y="0"/>
                      <a:ext cx="1401982" cy="2592000"/>
                    </a:xfrm>
                    <a:prstGeom prst="rect">
                      <a:avLst/>
                    </a:prstGeom>
                  </pic:spPr>
                </pic:pic>
              </a:graphicData>
            </a:graphic>
          </wp:inline>
        </w:drawing>
      </w:r>
      <w:r>
        <w:rPr>
          <w:noProof/>
          <w:snapToGrid/>
          <w:lang w:val="en-US" w:eastAsia="en-US"/>
        </w:rPr>
        <w:drawing>
          <wp:inline distT="0" distB="0" distL="0" distR="0" wp14:anchorId="72B297C0" wp14:editId="48748933">
            <wp:extent cx="1359828" cy="2556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CP-10M_Chest AP.png"/>
                    <pic:cNvPicPr/>
                  </pic:nvPicPr>
                  <pic:blipFill>
                    <a:blip r:embed="rId87" cstate="email">
                      <a:extLst>
                        <a:ext uri="{28A0092B-C50C-407E-A947-70E740481C1C}">
                          <a14:useLocalDpi xmlns:a14="http://schemas.microsoft.com/office/drawing/2010/main"/>
                        </a:ext>
                      </a:extLst>
                    </a:blip>
                    <a:stretch>
                      <a:fillRect/>
                    </a:stretch>
                  </pic:blipFill>
                  <pic:spPr>
                    <a:xfrm>
                      <a:off x="0" y="0"/>
                      <a:ext cx="1359828" cy="2556000"/>
                    </a:xfrm>
                    <a:prstGeom prst="rect">
                      <a:avLst/>
                    </a:prstGeom>
                  </pic:spPr>
                </pic:pic>
              </a:graphicData>
            </a:graphic>
          </wp:inline>
        </w:drawing>
      </w:r>
    </w:p>
    <w:p w14:paraId="26FA4ED6" w14:textId="77777777" w:rsidR="00E72CA9" w:rsidRDefault="00D516E3">
      <w:pPr>
        <w:pStyle w:val="Annaddtxt"/>
        <w:tabs>
          <w:tab w:val="clear" w:pos="646"/>
          <w:tab w:val="left" w:pos="851"/>
        </w:tabs>
        <w:spacing w:after="120"/>
      </w:pPr>
      <w:r>
        <w:t xml:space="preserve">                                </w:t>
      </w:r>
      <w:r>
        <w:rPr>
          <w:sz w:val="20"/>
        </w:rPr>
        <w:t>5-year old                                                                   10-year old</w:t>
      </w:r>
    </w:p>
    <w:p w14:paraId="6BAF3BF6" w14:textId="77777777" w:rsidR="00E72CA9" w:rsidRDefault="00D516E3">
      <w:pPr>
        <w:pStyle w:val="Annaddtxt"/>
        <w:tabs>
          <w:tab w:val="clear" w:pos="646"/>
          <w:tab w:val="left" w:pos="851"/>
        </w:tabs>
        <w:rPr>
          <w:sz w:val="22"/>
          <w:szCs w:val="22"/>
          <w:highlight w:val="yellow"/>
        </w:rPr>
      </w:pPr>
      <w:r>
        <w:rPr>
          <w:sz w:val="22"/>
          <w:szCs w:val="22"/>
        </w:rPr>
        <w:t xml:space="preserve">Fig. B.13. </w:t>
      </w:r>
      <w:r>
        <w:rPr>
          <w:sz w:val="22"/>
        </w:rPr>
        <w:t xml:space="preserve">Coronal images at the centre of the paediatric reference phantoms showing the anatomical landmarks for </w:t>
      </w:r>
      <w:r>
        <w:rPr>
          <w:sz w:val="22"/>
          <w:szCs w:val="22"/>
        </w:rPr>
        <w:t>chest anterior-posterior examination</w:t>
      </w:r>
      <w:r>
        <w:rPr>
          <w:sz w:val="22"/>
        </w:rPr>
        <w:t xml:space="preserve">. </w:t>
      </w:r>
      <w:r>
        <w:rPr>
          <w:sz w:val="22"/>
          <w:szCs w:val="22"/>
        </w:rPr>
        <w:t xml:space="preserve">For </w:t>
      </w:r>
      <w:r>
        <w:rPr>
          <w:bCs/>
          <w:snapToGrid/>
          <w:sz w:val="22"/>
          <w:szCs w:val="22"/>
          <w:lang w:val="en-US"/>
        </w:rPr>
        <w:t xml:space="preserve">newborn, 1-year, 5-year and 10-year old, the images for the male phantoms are shown. For 15-year old (third row), images for the male and female are shown. </w:t>
      </w:r>
      <w:r>
        <w:rPr>
          <w:sz w:val="22"/>
        </w:rPr>
        <w:t xml:space="preserve">Left to right: the first image shows only the skeletal landmarks and the second image adds the organs of interest </w:t>
      </w:r>
      <w:r>
        <w:rPr>
          <w:i/>
          <w:iCs/>
          <w:sz w:val="22"/>
        </w:rPr>
        <w:t>(continued on next page)</w:t>
      </w:r>
      <w:r>
        <w:rPr>
          <w:sz w:val="22"/>
        </w:rPr>
        <w:t xml:space="preserve">. </w:t>
      </w:r>
    </w:p>
    <w:p w14:paraId="3C9C2C80" w14:textId="77777777" w:rsidR="00E72CA9" w:rsidRDefault="00E72CA9">
      <w:pPr>
        <w:pStyle w:val="Annaddtxt"/>
        <w:tabs>
          <w:tab w:val="clear" w:pos="646"/>
          <w:tab w:val="left" w:pos="851"/>
        </w:tabs>
      </w:pPr>
    </w:p>
    <w:p w14:paraId="4E640623" w14:textId="77777777" w:rsidR="00E72CA9" w:rsidRDefault="00D516E3">
      <w:pPr>
        <w:pStyle w:val="Annaddtxt"/>
        <w:tabs>
          <w:tab w:val="clear" w:pos="646"/>
          <w:tab w:val="left" w:pos="851"/>
        </w:tabs>
        <w:jc w:val="center"/>
      </w:pPr>
      <w:r>
        <w:rPr>
          <w:noProof/>
          <w:snapToGrid/>
          <w:lang w:val="en-US" w:eastAsia="en-US"/>
        </w:rPr>
        <w:lastRenderedPageBreak/>
        <w:drawing>
          <wp:inline distT="0" distB="0" distL="0" distR="0" wp14:anchorId="39C04B76" wp14:editId="211BB0DB">
            <wp:extent cx="1277284" cy="2484000"/>
            <wp:effectExtent l="0" t="0" r="0" b="0"/>
            <wp:docPr id="5892373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CP-15M_Chest AP_no-organs.png"/>
                    <pic:cNvPicPr/>
                  </pic:nvPicPr>
                  <pic:blipFill>
                    <a:blip r:embed="rId88" cstate="email">
                      <a:extLst>
                        <a:ext uri="{28A0092B-C50C-407E-A947-70E740481C1C}">
                          <a14:useLocalDpi xmlns:a14="http://schemas.microsoft.com/office/drawing/2010/main"/>
                        </a:ext>
                      </a:extLst>
                    </a:blip>
                    <a:stretch>
                      <a:fillRect/>
                    </a:stretch>
                  </pic:blipFill>
                  <pic:spPr>
                    <a:xfrm>
                      <a:off x="0" y="0"/>
                      <a:ext cx="1277284" cy="2484000"/>
                    </a:xfrm>
                    <a:prstGeom prst="rect">
                      <a:avLst/>
                    </a:prstGeom>
                  </pic:spPr>
                </pic:pic>
              </a:graphicData>
            </a:graphic>
          </wp:inline>
        </w:drawing>
      </w:r>
      <w:r>
        <w:rPr>
          <w:noProof/>
          <w:snapToGrid/>
          <w:lang w:val="en-US" w:eastAsia="en-US"/>
        </w:rPr>
        <w:drawing>
          <wp:inline distT="0" distB="0" distL="0" distR="0" wp14:anchorId="3E5C83DF" wp14:editId="7E3BD255">
            <wp:extent cx="1233216" cy="248400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RCP-15M_Chest AP.png"/>
                    <pic:cNvPicPr/>
                  </pic:nvPicPr>
                  <pic:blipFill>
                    <a:blip r:embed="rId89" cstate="email">
                      <a:extLst>
                        <a:ext uri="{28A0092B-C50C-407E-A947-70E740481C1C}">
                          <a14:useLocalDpi xmlns:a14="http://schemas.microsoft.com/office/drawing/2010/main"/>
                        </a:ext>
                      </a:extLst>
                    </a:blip>
                    <a:stretch>
                      <a:fillRect/>
                    </a:stretch>
                  </pic:blipFill>
                  <pic:spPr>
                    <a:xfrm>
                      <a:off x="0" y="0"/>
                      <a:ext cx="1233216" cy="2484000"/>
                    </a:xfrm>
                    <a:prstGeom prst="rect">
                      <a:avLst/>
                    </a:prstGeom>
                  </pic:spPr>
                </pic:pic>
              </a:graphicData>
            </a:graphic>
          </wp:inline>
        </w:drawing>
      </w:r>
      <w:r>
        <w:rPr>
          <w:noProof/>
          <w:snapToGrid/>
          <w:lang w:val="en-US" w:eastAsia="en-US"/>
        </w:rPr>
        <w:drawing>
          <wp:inline distT="0" distB="0" distL="0" distR="0" wp14:anchorId="5800FC4A" wp14:editId="38DB9500">
            <wp:extent cx="1261379" cy="2484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CP-15F_Chest AP_no-organs.png"/>
                    <pic:cNvPicPr/>
                  </pic:nvPicPr>
                  <pic:blipFill>
                    <a:blip r:embed="rId90" cstate="email">
                      <a:extLst>
                        <a:ext uri="{28A0092B-C50C-407E-A947-70E740481C1C}">
                          <a14:useLocalDpi xmlns:a14="http://schemas.microsoft.com/office/drawing/2010/main"/>
                        </a:ext>
                      </a:extLst>
                    </a:blip>
                    <a:stretch>
                      <a:fillRect/>
                    </a:stretch>
                  </pic:blipFill>
                  <pic:spPr>
                    <a:xfrm>
                      <a:off x="0" y="0"/>
                      <a:ext cx="1261379" cy="2484000"/>
                    </a:xfrm>
                    <a:prstGeom prst="rect">
                      <a:avLst/>
                    </a:prstGeom>
                  </pic:spPr>
                </pic:pic>
              </a:graphicData>
            </a:graphic>
          </wp:inline>
        </w:drawing>
      </w:r>
      <w:r>
        <w:rPr>
          <w:noProof/>
          <w:snapToGrid/>
          <w:lang w:val="en-US" w:eastAsia="en-US"/>
        </w:rPr>
        <w:drawing>
          <wp:inline distT="0" distB="0" distL="0" distR="0" wp14:anchorId="5AEFECFA" wp14:editId="416313B4">
            <wp:extent cx="1313822" cy="2484000"/>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RCP-15F_Chest AP.png"/>
                    <pic:cNvPicPr/>
                  </pic:nvPicPr>
                  <pic:blipFill>
                    <a:blip r:embed="rId91" cstate="email">
                      <a:extLst>
                        <a:ext uri="{28A0092B-C50C-407E-A947-70E740481C1C}">
                          <a14:useLocalDpi xmlns:a14="http://schemas.microsoft.com/office/drawing/2010/main"/>
                        </a:ext>
                      </a:extLst>
                    </a:blip>
                    <a:stretch>
                      <a:fillRect/>
                    </a:stretch>
                  </pic:blipFill>
                  <pic:spPr>
                    <a:xfrm>
                      <a:off x="0" y="0"/>
                      <a:ext cx="1313822" cy="2484000"/>
                    </a:xfrm>
                    <a:prstGeom prst="rect">
                      <a:avLst/>
                    </a:prstGeom>
                  </pic:spPr>
                </pic:pic>
              </a:graphicData>
            </a:graphic>
          </wp:inline>
        </w:drawing>
      </w:r>
    </w:p>
    <w:p w14:paraId="6E4C4C2C" w14:textId="77777777" w:rsidR="00E72CA9" w:rsidRDefault="00D516E3">
      <w:pPr>
        <w:pStyle w:val="Annaddtxt"/>
        <w:tabs>
          <w:tab w:val="clear" w:pos="646"/>
          <w:tab w:val="left" w:pos="851"/>
        </w:tabs>
        <w:spacing w:after="120"/>
        <w:rPr>
          <w:sz w:val="20"/>
        </w:rPr>
      </w:pPr>
      <w:r>
        <w:t xml:space="preserve">                                 </w:t>
      </w:r>
      <w:r>
        <w:rPr>
          <w:sz w:val="20"/>
        </w:rPr>
        <w:t>15-year male                                                        15-year female</w:t>
      </w:r>
    </w:p>
    <w:p w14:paraId="00131D90" w14:textId="77777777" w:rsidR="00E72CA9" w:rsidRDefault="00D516E3">
      <w:pPr>
        <w:pStyle w:val="Annaddtxt"/>
        <w:tabs>
          <w:tab w:val="clear" w:pos="646"/>
          <w:tab w:val="left" w:pos="851"/>
        </w:tabs>
        <w:rPr>
          <w:sz w:val="22"/>
          <w:szCs w:val="22"/>
          <w:highlight w:val="yellow"/>
        </w:rPr>
      </w:pPr>
      <w:r>
        <w:rPr>
          <w:sz w:val="22"/>
          <w:szCs w:val="22"/>
        </w:rPr>
        <w:t xml:space="preserve">Fig. B.13. </w:t>
      </w:r>
      <w:r>
        <w:rPr>
          <w:i/>
          <w:iCs/>
          <w:sz w:val="22"/>
        </w:rPr>
        <w:t>(continued)</w:t>
      </w:r>
    </w:p>
    <w:p w14:paraId="7861CE3D" w14:textId="77777777" w:rsidR="00E72CA9" w:rsidRDefault="00D516E3">
      <w:pPr>
        <w:pStyle w:val="ICRPannexheading3"/>
        <w:ind w:hanging="1146"/>
      </w:pPr>
      <w:r>
        <w:t>Chest posterior-anterior (PA) (5-year, 10-year and 15-year old)</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3BA060DB" w14:textId="77777777">
        <w:tc>
          <w:tcPr>
            <w:tcW w:w="3330" w:type="dxa"/>
            <w:shd w:val="clear" w:color="auto" w:fill="auto"/>
          </w:tcPr>
          <w:p w14:paraId="5B31EB74"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25229AFB" w14:textId="77777777" w:rsidR="00E72CA9" w:rsidRDefault="00D516E3">
            <w:pPr>
              <w:pStyle w:val="Annalstext"/>
              <w:tabs>
                <w:tab w:val="clear" w:pos="502"/>
              </w:tabs>
              <w:ind w:left="0" w:firstLine="0"/>
              <w:rPr>
                <w:bCs/>
                <w:snapToGrid/>
                <w:sz w:val="20"/>
                <w:lang w:val="en-US"/>
              </w:rPr>
            </w:pPr>
            <w:r>
              <w:rPr>
                <w:bCs/>
                <w:snapToGrid/>
                <w:sz w:val="20"/>
                <w:lang w:val="en-US"/>
              </w:rPr>
              <w:t xml:space="preserve">Extends from ca. 1 cm above clavicles and scapulae, down to lateral bottom of the rib cage (10th rib, </w:t>
            </w:r>
            <w:proofErr w:type="spellStart"/>
            <w:r>
              <w:rPr>
                <w:bCs/>
                <w:snapToGrid/>
                <w:sz w:val="20"/>
                <w:lang w:val="en-US"/>
              </w:rPr>
              <w:t>costo</w:t>
            </w:r>
            <w:proofErr w:type="spellEnd"/>
            <w:r>
              <w:rPr>
                <w:bCs/>
                <w:snapToGrid/>
                <w:sz w:val="20"/>
                <w:lang w:val="en-US"/>
              </w:rPr>
              <w:t>-phrenic angles)</w:t>
            </w:r>
          </w:p>
        </w:tc>
      </w:tr>
      <w:tr w:rsidR="00E72CA9" w14:paraId="42CFD29E" w14:textId="77777777">
        <w:tc>
          <w:tcPr>
            <w:tcW w:w="3330" w:type="dxa"/>
            <w:shd w:val="clear" w:color="auto" w:fill="auto"/>
          </w:tcPr>
          <w:p w14:paraId="12B08AF3"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19CF5A81" w14:textId="77777777" w:rsidR="00E72CA9" w:rsidRDefault="00D516E3">
            <w:pPr>
              <w:pStyle w:val="Annalstext"/>
              <w:tabs>
                <w:tab w:val="clear" w:pos="502"/>
              </w:tabs>
              <w:ind w:left="0" w:firstLine="0"/>
              <w:rPr>
                <w:bCs/>
                <w:snapToGrid/>
                <w:sz w:val="20"/>
                <w:lang w:val="en-US"/>
              </w:rPr>
            </w:pPr>
            <w:r>
              <w:rPr>
                <w:bCs/>
                <w:snapToGrid/>
                <w:sz w:val="20"/>
                <w:lang w:val="en-US"/>
              </w:rPr>
              <w:t>Includes at least skin margins (in non-obese reference phantoms) and medial part (half) of the humeral head</w:t>
            </w:r>
          </w:p>
        </w:tc>
      </w:tr>
      <w:tr w:rsidR="00E72CA9" w14:paraId="441A58FF" w14:textId="77777777">
        <w:tc>
          <w:tcPr>
            <w:tcW w:w="3330" w:type="dxa"/>
            <w:shd w:val="clear" w:color="auto" w:fill="auto"/>
          </w:tcPr>
          <w:p w14:paraId="39CFC360"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72871AC1" w14:textId="77777777" w:rsidR="00E72CA9" w:rsidRDefault="00D516E3">
            <w:pPr>
              <w:pStyle w:val="Annalstext"/>
              <w:tabs>
                <w:tab w:val="clear" w:pos="502"/>
              </w:tabs>
              <w:ind w:left="0" w:firstLine="0"/>
              <w:rPr>
                <w:bCs/>
                <w:snapToGrid/>
                <w:sz w:val="20"/>
                <w:lang w:val="en-US"/>
              </w:rPr>
            </w:pPr>
            <w:r>
              <w:rPr>
                <w:bCs/>
                <w:snapToGrid/>
                <w:sz w:val="20"/>
                <w:lang w:val="en-US"/>
              </w:rPr>
              <w:t>180 cm</w:t>
            </w:r>
          </w:p>
        </w:tc>
      </w:tr>
      <w:tr w:rsidR="00E72CA9" w14:paraId="5EBA33A2" w14:textId="77777777">
        <w:tc>
          <w:tcPr>
            <w:tcW w:w="3330" w:type="dxa"/>
            <w:shd w:val="clear" w:color="auto" w:fill="auto"/>
          </w:tcPr>
          <w:p w14:paraId="41D50448"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2412093D" w14:textId="77777777" w:rsidR="00E72CA9" w:rsidRDefault="00D516E3">
            <w:pPr>
              <w:pStyle w:val="Annalstext"/>
              <w:tabs>
                <w:tab w:val="clear" w:pos="502"/>
              </w:tabs>
              <w:ind w:left="0" w:firstLine="0"/>
              <w:rPr>
                <w:bCs/>
                <w:snapToGrid/>
                <w:sz w:val="20"/>
                <w:lang w:val="en-US"/>
              </w:rPr>
            </w:pPr>
            <w:r>
              <w:rPr>
                <w:bCs/>
                <w:snapToGrid/>
                <w:sz w:val="20"/>
                <w:lang w:val="en-US"/>
              </w:rPr>
              <w:t xml:space="preserve">Anti-scatter grid for patient thickness of at least 20 cm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p w14:paraId="62F91CC9" w14:textId="77777777" w:rsidR="00E72CA9" w:rsidRDefault="00D516E3">
            <w:pPr>
              <w:pStyle w:val="Annalstext"/>
              <w:tabs>
                <w:tab w:val="clear" w:pos="502"/>
              </w:tabs>
              <w:ind w:left="0" w:firstLine="0"/>
              <w:rPr>
                <w:bCs/>
                <w:snapToGrid/>
                <w:sz w:val="20"/>
                <w:lang w:val="en-US"/>
              </w:rPr>
            </w:pPr>
            <w:r>
              <w:rPr>
                <w:bCs/>
                <w:snapToGrid/>
                <w:sz w:val="20"/>
                <w:lang w:val="en-US"/>
              </w:rPr>
              <w:t>0 cm (no grid) for 5-year old</w:t>
            </w:r>
          </w:p>
          <w:p w14:paraId="09D22AA2" w14:textId="77777777" w:rsidR="00E72CA9" w:rsidRDefault="00D516E3">
            <w:pPr>
              <w:pStyle w:val="Annalstext"/>
              <w:tabs>
                <w:tab w:val="clear" w:pos="502"/>
              </w:tabs>
              <w:ind w:left="0" w:firstLine="0"/>
              <w:rPr>
                <w:bCs/>
                <w:snapToGrid/>
                <w:sz w:val="20"/>
                <w:lang w:val="en-US"/>
              </w:rPr>
            </w:pPr>
            <w:r>
              <w:rPr>
                <w:bCs/>
                <w:snapToGrid/>
                <w:sz w:val="20"/>
                <w:lang w:val="en-US"/>
              </w:rPr>
              <w:t>10 cm (grid) for 10-year and 15-year old</w:t>
            </w:r>
          </w:p>
        </w:tc>
      </w:tr>
    </w:tbl>
    <w:p w14:paraId="285BC331"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10F7B4EA" wp14:editId="09E4244B">
            <wp:extent cx="1256174" cy="2699699"/>
            <wp:effectExtent l="0" t="0" r="1270" b="5715"/>
            <wp:docPr id="16488680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CP-05M Chest PA.png"/>
                    <pic:cNvPicPr/>
                  </pic:nvPicPr>
                  <pic:blipFill>
                    <a:blip r:embed="rId92" cstate="email">
                      <a:extLst>
                        <a:ext uri="{28A0092B-C50C-407E-A947-70E740481C1C}">
                          <a14:useLocalDpi xmlns:a14="http://schemas.microsoft.com/office/drawing/2010/main"/>
                        </a:ext>
                      </a:extLst>
                    </a:blip>
                    <a:stretch>
                      <a:fillRect/>
                    </a:stretch>
                  </pic:blipFill>
                  <pic:spPr>
                    <a:xfrm>
                      <a:off x="0" y="0"/>
                      <a:ext cx="1281093" cy="2753254"/>
                    </a:xfrm>
                    <a:prstGeom prst="rect">
                      <a:avLst/>
                    </a:prstGeom>
                  </pic:spPr>
                </pic:pic>
              </a:graphicData>
            </a:graphic>
          </wp:inline>
        </w:drawing>
      </w:r>
      <w:r>
        <w:rPr>
          <w:noProof/>
          <w:snapToGrid/>
          <w:lang w:val="en-US" w:eastAsia="en-US"/>
        </w:rPr>
        <w:drawing>
          <wp:inline distT="0" distB="0" distL="0" distR="0" wp14:anchorId="1050F5F7" wp14:editId="0CF8B85C">
            <wp:extent cx="1240790" cy="2701820"/>
            <wp:effectExtent l="0" t="0" r="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RCP-05M Chest PA organs.png"/>
                    <pic:cNvPicPr/>
                  </pic:nvPicPr>
                  <pic:blipFill>
                    <a:blip r:embed="rId93" cstate="email">
                      <a:extLst>
                        <a:ext uri="{28A0092B-C50C-407E-A947-70E740481C1C}">
                          <a14:useLocalDpi xmlns:a14="http://schemas.microsoft.com/office/drawing/2010/main"/>
                        </a:ext>
                      </a:extLst>
                    </a:blip>
                    <a:stretch>
                      <a:fillRect/>
                    </a:stretch>
                  </pic:blipFill>
                  <pic:spPr>
                    <a:xfrm>
                      <a:off x="0" y="0"/>
                      <a:ext cx="1261271" cy="2746418"/>
                    </a:xfrm>
                    <a:prstGeom prst="rect">
                      <a:avLst/>
                    </a:prstGeom>
                  </pic:spPr>
                </pic:pic>
              </a:graphicData>
            </a:graphic>
          </wp:inline>
        </w:drawing>
      </w:r>
      <w:r>
        <w:rPr>
          <w:noProof/>
          <w:snapToGrid/>
          <w:lang w:val="en-US" w:eastAsia="en-US"/>
        </w:rPr>
        <w:drawing>
          <wp:inline distT="0" distB="0" distL="0" distR="0" wp14:anchorId="3CC55AAB" wp14:editId="7A342344">
            <wp:extent cx="1209616" cy="2821354"/>
            <wp:effectExtent l="0" t="0" r="0" b="0"/>
            <wp:docPr id="141090160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CP-10M Chest PA.png"/>
                    <pic:cNvPicPr/>
                  </pic:nvPicPr>
                  <pic:blipFill>
                    <a:blip r:embed="rId94" cstate="email">
                      <a:extLst>
                        <a:ext uri="{28A0092B-C50C-407E-A947-70E740481C1C}">
                          <a14:useLocalDpi xmlns:a14="http://schemas.microsoft.com/office/drawing/2010/main"/>
                        </a:ext>
                      </a:extLst>
                    </a:blip>
                    <a:stretch>
                      <a:fillRect/>
                    </a:stretch>
                  </pic:blipFill>
                  <pic:spPr>
                    <a:xfrm>
                      <a:off x="0" y="0"/>
                      <a:ext cx="1221592" cy="2849287"/>
                    </a:xfrm>
                    <a:prstGeom prst="rect">
                      <a:avLst/>
                    </a:prstGeom>
                  </pic:spPr>
                </pic:pic>
              </a:graphicData>
            </a:graphic>
          </wp:inline>
        </w:drawing>
      </w:r>
      <w:r>
        <w:rPr>
          <w:noProof/>
          <w:snapToGrid/>
          <w:lang w:val="en-US" w:eastAsia="en-US"/>
        </w:rPr>
        <w:drawing>
          <wp:inline distT="0" distB="0" distL="0" distR="0" wp14:anchorId="3D39DD0B" wp14:editId="6FE1B3DA">
            <wp:extent cx="1181361" cy="2824853"/>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RCP-10M Chest PA organs.png"/>
                    <pic:cNvPicPr/>
                  </pic:nvPicPr>
                  <pic:blipFill>
                    <a:blip r:embed="rId95" cstate="email">
                      <a:extLst>
                        <a:ext uri="{28A0092B-C50C-407E-A947-70E740481C1C}">
                          <a14:useLocalDpi xmlns:a14="http://schemas.microsoft.com/office/drawing/2010/main"/>
                        </a:ext>
                      </a:extLst>
                    </a:blip>
                    <a:stretch>
                      <a:fillRect/>
                    </a:stretch>
                  </pic:blipFill>
                  <pic:spPr>
                    <a:xfrm>
                      <a:off x="0" y="0"/>
                      <a:ext cx="1212070" cy="2898283"/>
                    </a:xfrm>
                    <a:prstGeom prst="rect">
                      <a:avLst/>
                    </a:prstGeom>
                  </pic:spPr>
                </pic:pic>
              </a:graphicData>
            </a:graphic>
          </wp:inline>
        </w:drawing>
      </w:r>
    </w:p>
    <w:p w14:paraId="635BF382" w14:textId="77777777" w:rsidR="00E72CA9" w:rsidRDefault="00D516E3">
      <w:pPr>
        <w:pStyle w:val="Annaddtxt"/>
        <w:tabs>
          <w:tab w:val="clear" w:pos="646"/>
          <w:tab w:val="left" w:pos="851"/>
        </w:tabs>
        <w:spacing w:after="120"/>
        <w:rPr>
          <w:sz w:val="20"/>
        </w:rPr>
      </w:pPr>
      <w:r>
        <w:t xml:space="preserve">                                   </w:t>
      </w:r>
      <w:r>
        <w:rPr>
          <w:sz w:val="20"/>
        </w:rPr>
        <w:t xml:space="preserve">5-year old                                               10-year old        </w:t>
      </w:r>
    </w:p>
    <w:p w14:paraId="5999B1B8" w14:textId="77777777" w:rsidR="00E72CA9" w:rsidRDefault="00D516E3">
      <w:pPr>
        <w:pStyle w:val="Annaddtxt"/>
        <w:tabs>
          <w:tab w:val="clear" w:pos="646"/>
          <w:tab w:val="left" w:pos="851"/>
        </w:tabs>
        <w:rPr>
          <w:sz w:val="22"/>
          <w:szCs w:val="22"/>
          <w:highlight w:val="yellow"/>
        </w:rPr>
      </w:pPr>
      <w:r>
        <w:rPr>
          <w:sz w:val="22"/>
          <w:szCs w:val="22"/>
        </w:rPr>
        <w:t xml:space="preserve">Fig. B.14. </w:t>
      </w:r>
      <w:r>
        <w:rPr>
          <w:sz w:val="22"/>
        </w:rPr>
        <w:t xml:space="preserve">Coronal images at the centre of the paediatric reference phantoms showing the anatomical landmarks for </w:t>
      </w:r>
      <w:r>
        <w:rPr>
          <w:sz w:val="22"/>
          <w:szCs w:val="22"/>
        </w:rPr>
        <w:t>chest posterior-anterior examination</w:t>
      </w:r>
      <w:r>
        <w:rPr>
          <w:sz w:val="22"/>
        </w:rPr>
        <w:t xml:space="preserve">. </w:t>
      </w:r>
      <w:r>
        <w:rPr>
          <w:sz w:val="22"/>
          <w:szCs w:val="22"/>
        </w:rPr>
        <w:t xml:space="preserve">For </w:t>
      </w:r>
      <w:r>
        <w:rPr>
          <w:bCs/>
          <w:snapToGrid/>
          <w:sz w:val="22"/>
          <w:szCs w:val="22"/>
          <w:lang w:val="en-US"/>
        </w:rPr>
        <w:t xml:space="preserve">the 5-year and 10-year old, the images for the male phantoms are shown. For 15-year old (third row), images for the male and female are shown. </w:t>
      </w:r>
      <w:r>
        <w:rPr>
          <w:sz w:val="22"/>
        </w:rPr>
        <w:t xml:space="preserve">Left to right: the first image shows only the skeletal landmarks and the second image adds the organs of interest </w:t>
      </w:r>
      <w:r>
        <w:rPr>
          <w:i/>
          <w:iCs/>
          <w:sz w:val="22"/>
        </w:rPr>
        <w:t>(continued on next page)</w:t>
      </w:r>
      <w:r>
        <w:rPr>
          <w:sz w:val="22"/>
        </w:rPr>
        <w:t xml:space="preserve">. </w:t>
      </w:r>
    </w:p>
    <w:p w14:paraId="7843C478" w14:textId="77777777" w:rsidR="00E72CA9" w:rsidRDefault="00D516E3">
      <w:pPr>
        <w:pStyle w:val="Annaddtxt"/>
        <w:tabs>
          <w:tab w:val="clear" w:pos="646"/>
          <w:tab w:val="left" w:pos="851"/>
        </w:tabs>
      </w:pPr>
      <w:r>
        <w:t xml:space="preserve">     </w:t>
      </w:r>
    </w:p>
    <w:p w14:paraId="5AD52D9F" w14:textId="77777777" w:rsidR="00E72CA9" w:rsidRDefault="00D516E3">
      <w:pPr>
        <w:pStyle w:val="Annaddtxt"/>
        <w:tabs>
          <w:tab w:val="clear" w:pos="646"/>
          <w:tab w:val="left" w:pos="851"/>
        </w:tabs>
        <w:jc w:val="center"/>
      </w:pPr>
      <w:r>
        <w:rPr>
          <w:noProof/>
          <w:snapToGrid/>
          <w:lang w:val="en-US" w:eastAsia="en-US"/>
        </w:rPr>
        <w:lastRenderedPageBreak/>
        <w:drawing>
          <wp:inline distT="0" distB="0" distL="0" distR="0" wp14:anchorId="40BDAFA0" wp14:editId="480769A9">
            <wp:extent cx="1281600" cy="2728800"/>
            <wp:effectExtent l="0" t="0" r="0" b="0"/>
            <wp:docPr id="10478340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CP-15M Chest PA.png"/>
                    <pic:cNvPicPr/>
                  </pic:nvPicPr>
                  <pic:blipFill>
                    <a:blip r:embed="rId96" cstate="email">
                      <a:extLst>
                        <a:ext uri="{28A0092B-C50C-407E-A947-70E740481C1C}">
                          <a14:useLocalDpi xmlns:a14="http://schemas.microsoft.com/office/drawing/2010/main"/>
                        </a:ext>
                      </a:extLst>
                    </a:blip>
                    <a:stretch>
                      <a:fillRect/>
                    </a:stretch>
                  </pic:blipFill>
                  <pic:spPr>
                    <a:xfrm>
                      <a:off x="0" y="0"/>
                      <a:ext cx="1281600" cy="2728800"/>
                    </a:xfrm>
                    <a:prstGeom prst="rect">
                      <a:avLst/>
                    </a:prstGeom>
                  </pic:spPr>
                </pic:pic>
              </a:graphicData>
            </a:graphic>
          </wp:inline>
        </w:drawing>
      </w:r>
      <w:r>
        <w:rPr>
          <w:noProof/>
          <w:snapToGrid/>
          <w:lang w:val="en-US" w:eastAsia="en-US"/>
        </w:rPr>
        <w:drawing>
          <wp:inline distT="0" distB="0" distL="0" distR="0" wp14:anchorId="5F6D5EBF" wp14:editId="01D8A3E0">
            <wp:extent cx="1220400" cy="27252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RCP-15M Chest PA organs.png"/>
                    <pic:cNvPicPr/>
                  </pic:nvPicPr>
                  <pic:blipFill>
                    <a:blip r:embed="rId97" cstate="email">
                      <a:extLst>
                        <a:ext uri="{28A0092B-C50C-407E-A947-70E740481C1C}">
                          <a14:useLocalDpi xmlns:a14="http://schemas.microsoft.com/office/drawing/2010/main"/>
                        </a:ext>
                      </a:extLst>
                    </a:blip>
                    <a:stretch>
                      <a:fillRect/>
                    </a:stretch>
                  </pic:blipFill>
                  <pic:spPr>
                    <a:xfrm>
                      <a:off x="0" y="0"/>
                      <a:ext cx="1220400" cy="2725200"/>
                    </a:xfrm>
                    <a:prstGeom prst="rect">
                      <a:avLst/>
                    </a:prstGeom>
                  </pic:spPr>
                </pic:pic>
              </a:graphicData>
            </a:graphic>
          </wp:inline>
        </w:drawing>
      </w:r>
      <w:r>
        <w:rPr>
          <w:noProof/>
          <w:snapToGrid/>
          <w:lang w:val="en-US" w:eastAsia="en-US"/>
        </w:rPr>
        <w:drawing>
          <wp:inline distT="0" distB="0" distL="0" distR="0" wp14:anchorId="6F137DB9" wp14:editId="59CB08A3">
            <wp:extent cx="1246587" cy="273362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CP-15F Chest PA.png"/>
                    <pic:cNvPicPr/>
                  </pic:nvPicPr>
                  <pic:blipFill>
                    <a:blip r:embed="rId98" cstate="email">
                      <a:extLst>
                        <a:ext uri="{28A0092B-C50C-407E-A947-70E740481C1C}">
                          <a14:useLocalDpi xmlns:a14="http://schemas.microsoft.com/office/drawing/2010/main"/>
                        </a:ext>
                      </a:extLst>
                    </a:blip>
                    <a:stretch>
                      <a:fillRect/>
                    </a:stretch>
                  </pic:blipFill>
                  <pic:spPr>
                    <a:xfrm>
                      <a:off x="0" y="0"/>
                      <a:ext cx="1261690" cy="2766748"/>
                    </a:xfrm>
                    <a:prstGeom prst="rect">
                      <a:avLst/>
                    </a:prstGeom>
                  </pic:spPr>
                </pic:pic>
              </a:graphicData>
            </a:graphic>
          </wp:inline>
        </w:drawing>
      </w:r>
      <w:r>
        <w:rPr>
          <w:noProof/>
          <w:snapToGrid/>
          <w:lang w:val="en-US" w:eastAsia="en-US"/>
        </w:rPr>
        <w:drawing>
          <wp:inline distT="0" distB="0" distL="0" distR="0" wp14:anchorId="5D172B4E" wp14:editId="5CE54439">
            <wp:extent cx="1192139" cy="2713355"/>
            <wp:effectExtent l="0" t="0" r="825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RCP-15F Chest PA organs.png"/>
                    <pic:cNvPicPr/>
                  </pic:nvPicPr>
                  <pic:blipFill>
                    <a:blip r:embed="rId99" cstate="email">
                      <a:extLst>
                        <a:ext uri="{28A0092B-C50C-407E-A947-70E740481C1C}">
                          <a14:useLocalDpi xmlns:a14="http://schemas.microsoft.com/office/drawing/2010/main"/>
                        </a:ext>
                      </a:extLst>
                    </a:blip>
                    <a:stretch>
                      <a:fillRect/>
                    </a:stretch>
                  </pic:blipFill>
                  <pic:spPr>
                    <a:xfrm>
                      <a:off x="0" y="0"/>
                      <a:ext cx="1206714" cy="2746528"/>
                    </a:xfrm>
                    <a:prstGeom prst="rect">
                      <a:avLst/>
                    </a:prstGeom>
                  </pic:spPr>
                </pic:pic>
              </a:graphicData>
            </a:graphic>
          </wp:inline>
        </w:drawing>
      </w:r>
    </w:p>
    <w:p w14:paraId="3F441AAF" w14:textId="77777777" w:rsidR="00E72CA9" w:rsidRDefault="00D516E3">
      <w:pPr>
        <w:pStyle w:val="Annaddtxt"/>
        <w:tabs>
          <w:tab w:val="clear" w:pos="646"/>
          <w:tab w:val="left" w:pos="851"/>
        </w:tabs>
        <w:spacing w:after="120"/>
        <w:rPr>
          <w:sz w:val="20"/>
        </w:rPr>
      </w:pPr>
      <w:r>
        <w:t xml:space="preserve">                                  </w:t>
      </w:r>
      <w:r>
        <w:rPr>
          <w:sz w:val="20"/>
        </w:rPr>
        <w:t>15-year male                                                      15-year female</w:t>
      </w:r>
    </w:p>
    <w:p w14:paraId="32C070F5" w14:textId="77777777" w:rsidR="00E72CA9" w:rsidRDefault="00D516E3">
      <w:pPr>
        <w:pStyle w:val="Annaddtxt"/>
        <w:tabs>
          <w:tab w:val="clear" w:pos="646"/>
          <w:tab w:val="left" w:pos="851"/>
        </w:tabs>
        <w:rPr>
          <w:i/>
          <w:iCs/>
          <w:sz w:val="22"/>
          <w:szCs w:val="22"/>
          <w:highlight w:val="yellow"/>
        </w:rPr>
      </w:pPr>
      <w:r>
        <w:rPr>
          <w:sz w:val="22"/>
          <w:szCs w:val="22"/>
        </w:rPr>
        <w:t xml:space="preserve">Fig. B.14. </w:t>
      </w:r>
      <w:r>
        <w:rPr>
          <w:i/>
          <w:iCs/>
          <w:sz w:val="22"/>
        </w:rPr>
        <w:t>(continued)</w:t>
      </w:r>
    </w:p>
    <w:p w14:paraId="1BBA487D" w14:textId="77777777" w:rsidR="00E72CA9" w:rsidRDefault="00D516E3">
      <w:pPr>
        <w:pStyle w:val="ICRPannexheading3"/>
        <w:ind w:hanging="1146"/>
      </w:pPr>
      <w:r>
        <w:t xml:space="preserve">Pelvis anterior-posterior (AP)  </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45E93480" w14:textId="77777777">
        <w:tc>
          <w:tcPr>
            <w:tcW w:w="3330" w:type="dxa"/>
            <w:shd w:val="clear" w:color="auto" w:fill="auto"/>
          </w:tcPr>
          <w:p w14:paraId="547BA2F3"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26271F51" w14:textId="77777777" w:rsidR="00E72CA9" w:rsidRDefault="00D516E3">
            <w:pPr>
              <w:pStyle w:val="Annalstext"/>
              <w:tabs>
                <w:tab w:val="clear" w:pos="502"/>
              </w:tabs>
              <w:ind w:left="0" w:firstLine="0"/>
              <w:rPr>
                <w:bCs/>
                <w:snapToGrid/>
                <w:sz w:val="20"/>
                <w:lang w:val="en-US"/>
              </w:rPr>
            </w:pPr>
            <w:r>
              <w:rPr>
                <w:bCs/>
                <w:snapToGrid/>
                <w:sz w:val="20"/>
                <w:lang w:val="en-US"/>
              </w:rPr>
              <w:t>Extends from 3 cm above iliac crest down to slightly below lesser trochanter</w:t>
            </w:r>
          </w:p>
        </w:tc>
      </w:tr>
      <w:tr w:rsidR="00E72CA9" w14:paraId="102F6D19" w14:textId="77777777">
        <w:tc>
          <w:tcPr>
            <w:tcW w:w="3330" w:type="dxa"/>
            <w:shd w:val="clear" w:color="auto" w:fill="auto"/>
          </w:tcPr>
          <w:p w14:paraId="1E8FF6AE"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13F7456F" w14:textId="77777777" w:rsidR="00E72CA9" w:rsidRDefault="00D516E3">
            <w:pPr>
              <w:pStyle w:val="Annalstext"/>
              <w:tabs>
                <w:tab w:val="clear" w:pos="502"/>
              </w:tabs>
              <w:ind w:left="0" w:firstLine="0"/>
              <w:rPr>
                <w:bCs/>
                <w:snapToGrid/>
                <w:sz w:val="20"/>
                <w:lang w:val="en-US"/>
              </w:rPr>
            </w:pPr>
            <w:r>
              <w:rPr>
                <w:bCs/>
                <w:snapToGrid/>
                <w:sz w:val="20"/>
                <w:lang w:val="en-US"/>
              </w:rPr>
              <w:t>Should include the hips</w:t>
            </w:r>
          </w:p>
        </w:tc>
      </w:tr>
      <w:tr w:rsidR="00E72CA9" w14:paraId="0E4A620F" w14:textId="77777777">
        <w:tc>
          <w:tcPr>
            <w:tcW w:w="3330" w:type="dxa"/>
            <w:shd w:val="clear" w:color="auto" w:fill="auto"/>
          </w:tcPr>
          <w:p w14:paraId="06790D49"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6CFF5BA5" w14:textId="77777777" w:rsidR="00E72CA9" w:rsidRDefault="00D516E3">
            <w:pPr>
              <w:pStyle w:val="Annalstext"/>
              <w:tabs>
                <w:tab w:val="clear" w:pos="502"/>
              </w:tabs>
              <w:ind w:left="0" w:firstLine="0"/>
              <w:rPr>
                <w:bCs/>
                <w:snapToGrid/>
                <w:sz w:val="20"/>
                <w:lang w:val="en-US"/>
              </w:rPr>
            </w:pPr>
            <w:r>
              <w:rPr>
                <w:bCs/>
                <w:snapToGrid/>
                <w:sz w:val="20"/>
                <w:lang w:val="en-US"/>
              </w:rPr>
              <w:t>100 cm for newborn and 1-year old</w:t>
            </w:r>
          </w:p>
          <w:p w14:paraId="1B6BB6A4" w14:textId="77777777" w:rsidR="00E72CA9" w:rsidRDefault="00D516E3">
            <w:pPr>
              <w:pStyle w:val="Annalstext"/>
              <w:tabs>
                <w:tab w:val="clear" w:pos="502"/>
              </w:tabs>
              <w:ind w:left="0" w:firstLine="0"/>
              <w:rPr>
                <w:bCs/>
                <w:snapToGrid/>
                <w:sz w:val="20"/>
                <w:lang w:val="en-US"/>
              </w:rPr>
            </w:pPr>
            <w:r>
              <w:rPr>
                <w:bCs/>
                <w:snapToGrid/>
                <w:sz w:val="20"/>
                <w:lang w:val="en-US"/>
              </w:rPr>
              <w:t>115 cm for 5-year, 10-year and 15-year old</w:t>
            </w:r>
          </w:p>
        </w:tc>
      </w:tr>
      <w:tr w:rsidR="00E72CA9" w14:paraId="2957CA5F" w14:textId="77777777">
        <w:tc>
          <w:tcPr>
            <w:tcW w:w="3330" w:type="dxa"/>
            <w:shd w:val="clear" w:color="auto" w:fill="auto"/>
          </w:tcPr>
          <w:p w14:paraId="56A0A0EE"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6B4AAF3D" w14:textId="77777777" w:rsidR="00E72CA9" w:rsidRDefault="00D516E3">
            <w:pPr>
              <w:pStyle w:val="Annalstext"/>
              <w:tabs>
                <w:tab w:val="clear" w:pos="502"/>
              </w:tabs>
              <w:ind w:left="0" w:firstLine="0"/>
              <w:rPr>
                <w:bCs/>
                <w:snapToGrid/>
                <w:sz w:val="20"/>
                <w:lang w:val="en-US"/>
              </w:rPr>
            </w:pPr>
            <w:r>
              <w:rPr>
                <w:bCs/>
                <w:snapToGrid/>
                <w:sz w:val="20"/>
                <w:lang w:val="en-US"/>
              </w:rPr>
              <w:t xml:space="preserve">Anti-scatter grid for patient thickness of at least 13-14 cm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p w14:paraId="2B319CC4" w14:textId="77777777" w:rsidR="00E72CA9" w:rsidRDefault="00D516E3">
            <w:pPr>
              <w:pStyle w:val="Annalstext"/>
              <w:tabs>
                <w:tab w:val="clear" w:pos="502"/>
              </w:tabs>
              <w:ind w:left="0" w:firstLine="0"/>
              <w:rPr>
                <w:bCs/>
                <w:snapToGrid/>
                <w:sz w:val="20"/>
                <w:lang w:val="en-US"/>
              </w:rPr>
            </w:pPr>
            <w:r>
              <w:rPr>
                <w:bCs/>
                <w:snapToGrid/>
                <w:sz w:val="20"/>
                <w:lang w:val="en-US"/>
              </w:rPr>
              <w:t>0 cm (no grid) for newborn, 10 cm (grid) for 1-year, 5-year, 10-year and 15-year old</w:t>
            </w:r>
          </w:p>
        </w:tc>
      </w:tr>
    </w:tbl>
    <w:p w14:paraId="27FB56B6"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62772655" wp14:editId="10066CBD">
            <wp:extent cx="1459874" cy="2844000"/>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CP-00M_Pelvis AP_no-organs.png"/>
                    <pic:cNvPicPr/>
                  </pic:nvPicPr>
                  <pic:blipFill>
                    <a:blip r:embed="rId100" cstate="email">
                      <a:extLst>
                        <a:ext uri="{28A0092B-C50C-407E-A947-70E740481C1C}">
                          <a14:useLocalDpi xmlns:a14="http://schemas.microsoft.com/office/drawing/2010/main"/>
                        </a:ext>
                      </a:extLst>
                    </a:blip>
                    <a:stretch>
                      <a:fillRect/>
                    </a:stretch>
                  </pic:blipFill>
                  <pic:spPr>
                    <a:xfrm>
                      <a:off x="0" y="0"/>
                      <a:ext cx="1459874" cy="2844000"/>
                    </a:xfrm>
                    <a:prstGeom prst="rect">
                      <a:avLst/>
                    </a:prstGeom>
                  </pic:spPr>
                </pic:pic>
              </a:graphicData>
            </a:graphic>
          </wp:inline>
        </w:drawing>
      </w:r>
      <w:r>
        <w:rPr>
          <w:noProof/>
          <w:snapToGrid/>
          <w:lang w:val="en-US" w:eastAsia="en-US"/>
        </w:rPr>
        <w:drawing>
          <wp:inline distT="0" distB="0" distL="0" distR="0" wp14:anchorId="61864AAD" wp14:editId="77EBBBA4">
            <wp:extent cx="1355239" cy="2844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RCP-00M_Pelvis AP.png"/>
                    <pic:cNvPicPr/>
                  </pic:nvPicPr>
                  <pic:blipFill>
                    <a:blip r:embed="rId101" cstate="email">
                      <a:extLst>
                        <a:ext uri="{28A0092B-C50C-407E-A947-70E740481C1C}">
                          <a14:useLocalDpi xmlns:a14="http://schemas.microsoft.com/office/drawing/2010/main"/>
                        </a:ext>
                      </a:extLst>
                    </a:blip>
                    <a:stretch>
                      <a:fillRect/>
                    </a:stretch>
                  </pic:blipFill>
                  <pic:spPr>
                    <a:xfrm>
                      <a:off x="0" y="0"/>
                      <a:ext cx="1355239" cy="2844000"/>
                    </a:xfrm>
                    <a:prstGeom prst="rect">
                      <a:avLst/>
                    </a:prstGeom>
                  </pic:spPr>
                </pic:pic>
              </a:graphicData>
            </a:graphic>
          </wp:inline>
        </w:drawing>
      </w:r>
      <w:r>
        <w:rPr>
          <w:noProof/>
          <w:snapToGrid/>
          <w:lang w:val="en-US" w:eastAsia="en-US"/>
        </w:rPr>
        <w:drawing>
          <wp:inline distT="0" distB="0" distL="0" distR="0" wp14:anchorId="298A78E4" wp14:editId="404C9579">
            <wp:extent cx="1201944" cy="288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CP-01M_Pelvis AP_no-organs.png"/>
                    <pic:cNvPicPr/>
                  </pic:nvPicPr>
                  <pic:blipFill>
                    <a:blip r:embed="rId102" cstate="email">
                      <a:extLst>
                        <a:ext uri="{28A0092B-C50C-407E-A947-70E740481C1C}">
                          <a14:useLocalDpi xmlns:a14="http://schemas.microsoft.com/office/drawing/2010/main"/>
                        </a:ext>
                      </a:extLst>
                    </a:blip>
                    <a:stretch>
                      <a:fillRect/>
                    </a:stretch>
                  </pic:blipFill>
                  <pic:spPr>
                    <a:xfrm>
                      <a:off x="0" y="0"/>
                      <a:ext cx="1201944" cy="2880000"/>
                    </a:xfrm>
                    <a:prstGeom prst="rect">
                      <a:avLst/>
                    </a:prstGeom>
                  </pic:spPr>
                </pic:pic>
              </a:graphicData>
            </a:graphic>
          </wp:inline>
        </w:drawing>
      </w:r>
      <w:r>
        <w:rPr>
          <w:noProof/>
          <w:snapToGrid/>
          <w:lang w:val="en-US" w:eastAsia="en-US"/>
        </w:rPr>
        <w:drawing>
          <wp:inline distT="0" distB="0" distL="0" distR="0" wp14:anchorId="550F2A35" wp14:editId="41D318A2">
            <wp:extent cx="1164042" cy="2880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RCP-01M_Pelvis AP.png"/>
                    <pic:cNvPicPr/>
                  </pic:nvPicPr>
                  <pic:blipFill>
                    <a:blip r:embed="rId103" cstate="email">
                      <a:extLst>
                        <a:ext uri="{28A0092B-C50C-407E-A947-70E740481C1C}">
                          <a14:useLocalDpi xmlns:a14="http://schemas.microsoft.com/office/drawing/2010/main"/>
                        </a:ext>
                      </a:extLst>
                    </a:blip>
                    <a:stretch>
                      <a:fillRect/>
                    </a:stretch>
                  </pic:blipFill>
                  <pic:spPr>
                    <a:xfrm>
                      <a:off x="0" y="0"/>
                      <a:ext cx="1164042" cy="2880000"/>
                    </a:xfrm>
                    <a:prstGeom prst="rect">
                      <a:avLst/>
                    </a:prstGeom>
                  </pic:spPr>
                </pic:pic>
              </a:graphicData>
            </a:graphic>
          </wp:inline>
        </w:drawing>
      </w:r>
    </w:p>
    <w:p w14:paraId="703A406F" w14:textId="77777777" w:rsidR="00E72CA9" w:rsidRDefault="00D516E3">
      <w:pPr>
        <w:pStyle w:val="Annaddtxt"/>
        <w:tabs>
          <w:tab w:val="clear" w:pos="646"/>
          <w:tab w:val="left" w:pos="851"/>
        </w:tabs>
        <w:spacing w:after="60"/>
        <w:rPr>
          <w:sz w:val="20"/>
        </w:rPr>
      </w:pPr>
      <w:r>
        <w:t xml:space="preserve">                                   </w:t>
      </w:r>
      <w:r>
        <w:rPr>
          <w:sz w:val="20"/>
        </w:rPr>
        <w:t xml:space="preserve">Newborn                                                                     1-year old                 </w:t>
      </w:r>
    </w:p>
    <w:p w14:paraId="05C6C4A2" w14:textId="77777777" w:rsidR="00E72CA9" w:rsidRDefault="00D516E3">
      <w:pPr>
        <w:pStyle w:val="Annaddtxt"/>
        <w:tabs>
          <w:tab w:val="clear" w:pos="646"/>
          <w:tab w:val="left" w:pos="851"/>
        </w:tabs>
        <w:rPr>
          <w:sz w:val="22"/>
          <w:szCs w:val="22"/>
          <w:highlight w:val="yellow"/>
        </w:rPr>
      </w:pPr>
      <w:r>
        <w:rPr>
          <w:sz w:val="22"/>
        </w:rPr>
        <w:t xml:space="preserve">Fig. B.15. Coronal images at the centre of the paediatric reference phantoms showing the anatomical landmarks for </w:t>
      </w:r>
      <w:r>
        <w:rPr>
          <w:sz w:val="22"/>
          <w:szCs w:val="22"/>
        </w:rPr>
        <w:t>pelvis anterior-posterior examination</w:t>
      </w:r>
      <w:r>
        <w:rPr>
          <w:sz w:val="22"/>
        </w:rPr>
        <w:t xml:space="preserve">. </w:t>
      </w:r>
      <w:r>
        <w:rPr>
          <w:sz w:val="22"/>
          <w:szCs w:val="22"/>
        </w:rPr>
        <w:t xml:space="preserve">For </w:t>
      </w:r>
      <w:r>
        <w:rPr>
          <w:bCs/>
          <w:snapToGrid/>
          <w:sz w:val="22"/>
          <w:szCs w:val="22"/>
          <w:lang w:val="en-US"/>
        </w:rPr>
        <w:t xml:space="preserve">newborn, 1-year, 5-year and 10-year old, the images for the male phantoms are shown. For 15-year old (third row), images for the male and female are shown. </w:t>
      </w:r>
      <w:r>
        <w:rPr>
          <w:sz w:val="22"/>
        </w:rPr>
        <w:t xml:space="preserve">Left to right: the first image shows only the skeletal landmarks and the second image adds the organs of interest </w:t>
      </w:r>
      <w:r>
        <w:rPr>
          <w:i/>
          <w:iCs/>
          <w:sz w:val="22"/>
        </w:rPr>
        <w:t>(continued on next page)</w:t>
      </w:r>
      <w:r>
        <w:rPr>
          <w:sz w:val="22"/>
        </w:rPr>
        <w:t>.</w:t>
      </w:r>
    </w:p>
    <w:p w14:paraId="35723A51" w14:textId="77777777" w:rsidR="00E72CA9" w:rsidRDefault="00E72CA9">
      <w:pPr>
        <w:pStyle w:val="Annaddtxt"/>
        <w:tabs>
          <w:tab w:val="clear" w:pos="646"/>
          <w:tab w:val="left" w:pos="851"/>
        </w:tabs>
      </w:pPr>
    </w:p>
    <w:p w14:paraId="7A34097E"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5A64CF79" wp14:editId="68783FE1">
            <wp:extent cx="1211835" cy="2913775"/>
            <wp:effectExtent l="0" t="0" r="762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CP-05M Pelvis AP.png"/>
                    <pic:cNvPicPr/>
                  </pic:nvPicPr>
                  <pic:blipFill>
                    <a:blip r:embed="rId104" cstate="email">
                      <a:extLst>
                        <a:ext uri="{28A0092B-C50C-407E-A947-70E740481C1C}">
                          <a14:useLocalDpi xmlns:a14="http://schemas.microsoft.com/office/drawing/2010/main"/>
                        </a:ext>
                      </a:extLst>
                    </a:blip>
                    <a:stretch>
                      <a:fillRect/>
                    </a:stretch>
                  </pic:blipFill>
                  <pic:spPr>
                    <a:xfrm>
                      <a:off x="0" y="0"/>
                      <a:ext cx="1225910" cy="2947617"/>
                    </a:xfrm>
                    <a:prstGeom prst="rect">
                      <a:avLst/>
                    </a:prstGeom>
                  </pic:spPr>
                </pic:pic>
              </a:graphicData>
            </a:graphic>
          </wp:inline>
        </w:drawing>
      </w:r>
      <w:r>
        <w:rPr>
          <w:noProof/>
          <w:snapToGrid/>
          <w:lang w:val="en-US" w:eastAsia="en-US"/>
        </w:rPr>
        <w:drawing>
          <wp:inline distT="0" distB="0" distL="0" distR="0" wp14:anchorId="68377C4B" wp14:editId="33A8361E">
            <wp:extent cx="1287264" cy="2902194"/>
            <wp:effectExtent l="0" t="0" r="825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RCP-05M Pelvis AP organs.png"/>
                    <pic:cNvPicPr/>
                  </pic:nvPicPr>
                  <pic:blipFill>
                    <a:blip r:embed="rId105" cstate="email">
                      <a:extLst>
                        <a:ext uri="{28A0092B-C50C-407E-A947-70E740481C1C}">
                          <a14:useLocalDpi xmlns:a14="http://schemas.microsoft.com/office/drawing/2010/main"/>
                        </a:ext>
                      </a:extLst>
                    </a:blip>
                    <a:stretch>
                      <a:fillRect/>
                    </a:stretch>
                  </pic:blipFill>
                  <pic:spPr>
                    <a:xfrm>
                      <a:off x="0" y="0"/>
                      <a:ext cx="1292926" cy="2914958"/>
                    </a:xfrm>
                    <a:prstGeom prst="rect">
                      <a:avLst/>
                    </a:prstGeom>
                  </pic:spPr>
                </pic:pic>
              </a:graphicData>
            </a:graphic>
          </wp:inline>
        </w:drawing>
      </w:r>
      <w:r>
        <w:rPr>
          <w:noProof/>
          <w:snapToGrid/>
          <w:lang w:val="en-US" w:eastAsia="en-US"/>
        </w:rPr>
        <w:drawing>
          <wp:inline distT="0" distB="0" distL="0" distR="0" wp14:anchorId="5730F3D0" wp14:editId="0C066761">
            <wp:extent cx="1146517" cy="29584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CP-10M Pelvis AP.png"/>
                    <pic:cNvPicPr/>
                  </pic:nvPicPr>
                  <pic:blipFill>
                    <a:blip r:embed="rId106" cstate="email">
                      <a:extLst>
                        <a:ext uri="{28A0092B-C50C-407E-A947-70E740481C1C}">
                          <a14:useLocalDpi xmlns:a14="http://schemas.microsoft.com/office/drawing/2010/main"/>
                        </a:ext>
                      </a:extLst>
                    </a:blip>
                    <a:stretch>
                      <a:fillRect/>
                    </a:stretch>
                  </pic:blipFill>
                  <pic:spPr>
                    <a:xfrm>
                      <a:off x="0" y="0"/>
                      <a:ext cx="1170601" cy="3020566"/>
                    </a:xfrm>
                    <a:prstGeom prst="rect">
                      <a:avLst/>
                    </a:prstGeom>
                  </pic:spPr>
                </pic:pic>
              </a:graphicData>
            </a:graphic>
          </wp:inline>
        </w:drawing>
      </w:r>
      <w:r>
        <w:rPr>
          <w:noProof/>
          <w:snapToGrid/>
          <w:lang w:val="en-US" w:eastAsia="en-US"/>
        </w:rPr>
        <w:drawing>
          <wp:inline distT="0" distB="0" distL="0" distR="0" wp14:anchorId="6CB8AE88" wp14:editId="040C7D63">
            <wp:extent cx="1273126" cy="2908553"/>
            <wp:effectExtent l="0" t="0" r="381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RCP-10M Pelvis AP organs.png"/>
                    <pic:cNvPicPr/>
                  </pic:nvPicPr>
                  <pic:blipFill>
                    <a:blip r:embed="rId107" cstate="email">
                      <a:extLst>
                        <a:ext uri="{28A0092B-C50C-407E-A947-70E740481C1C}">
                          <a14:useLocalDpi xmlns:a14="http://schemas.microsoft.com/office/drawing/2010/main"/>
                        </a:ext>
                      </a:extLst>
                    </a:blip>
                    <a:stretch>
                      <a:fillRect/>
                    </a:stretch>
                  </pic:blipFill>
                  <pic:spPr>
                    <a:xfrm>
                      <a:off x="0" y="0"/>
                      <a:ext cx="1288061" cy="2942673"/>
                    </a:xfrm>
                    <a:prstGeom prst="rect">
                      <a:avLst/>
                    </a:prstGeom>
                  </pic:spPr>
                </pic:pic>
              </a:graphicData>
            </a:graphic>
          </wp:inline>
        </w:drawing>
      </w:r>
    </w:p>
    <w:p w14:paraId="395D1F55" w14:textId="77777777" w:rsidR="00E72CA9" w:rsidRDefault="00D516E3">
      <w:pPr>
        <w:pStyle w:val="Annaddtxt"/>
        <w:tabs>
          <w:tab w:val="clear" w:pos="646"/>
          <w:tab w:val="left" w:pos="851"/>
        </w:tabs>
        <w:rPr>
          <w:sz w:val="20"/>
        </w:rPr>
      </w:pPr>
      <w:r>
        <w:t xml:space="preserve">                                    </w:t>
      </w:r>
      <w:r>
        <w:rPr>
          <w:sz w:val="20"/>
        </w:rPr>
        <w:t xml:space="preserve">5-year old                                                            10-year old                     </w:t>
      </w:r>
    </w:p>
    <w:p w14:paraId="4487E3C2"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6E32FAAE" wp14:editId="34C7DC7F">
            <wp:extent cx="1166642" cy="284739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CP-15M Pelvis AP.png"/>
                    <pic:cNvPicPr/>
                  </pic:nvPicPr>
                  <pic:blipFill>
                    <a:blip r:embed="rId108" cstate="email">
                      <a:extLst>
                        <a:ext uri="{28A0092B-C50C-407E-A947-70E740481C1C}">
                          <a14:useLocalDpi xmlns:a14="http://schemas.microsoft.com/office/drawing/2010/main"/>
                        </a:ext>
                      </a:extLst>
                    </a:blip>
                    <a:stretch>
                      <a:fillRect/>
                    </a:stretch>
                  </pic:blipFill>
                  <pic:spPr>
                    <a:xfrm>
                      <a:off x="0" y="0"/>
                      <a:ext cx="1173693" cy="2864606"/>
                    </a:xfrm>
                    <a:prstGeom prst="rect">
                      <a:avLst/>
                    </a:prstGeom>
                  </pic:spPr>
                </pic:pic>
              </a:graphicData>
            </a:graphic>
          </wp:inline>
        </w:drawing>
      </w:r>
      <w:r>
        <w:rPr>
          <w:noProof/>
          <w:snapToGrid/>
          <w:lang w:val="en-US" w:eastAsia="en-US"/>
        </w:rPr>
        <w:drawing>
          <wp:inline distT="0" distB="0" distL="0" distR="0" wp14:anchorId="7262D491" wp14:editId="5481B61C">
            <wp:extent cx="1209822" cy="2851488"/>
            <wp:effectExtent l="0" t="0" r="9525"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RCP-15M Pelvis AP organs.png"/>
                    <pic:cNvPicPr/>
                  </pic:nvPicPr>
                  <pic:blipFill>
                    <a:blip r:embed="rId109" cstate="email">
                      <a:extLst>
                        <a:ext uri="{28A0092B-C50C-407E-A947-70E740481C1C}">
                          <a14:useLocalDpi xmlns:a14="http://schemas.microsoft.com/office/drawing/2010/main"/>
                        </a:ext>
                      </a:extLst>
                    </a:blip>
                    <a:stretch>
                      <a:fillRect/>
                    </a:stretch>
                  </pic:blipFill>
                  <pic:spPr>
                    <a:xfrm>
                      <a:off x="0" y="0"/>
                      <a:ext cx="1228388" cy="2895248"/>
                    </a:xfrm>
                    <a:prstGeom prst="rect">
                      <a:avLst/>
                    </a:prstGeom>
                  </pic:spPr>
                </pic:pic>
              </a:graphicData>
            </a:graphic>
          </wp:inline>
        </w:drawing>
      </w:r>
      <w:r>
        <w:rPr>
          <w:noProof/>
          <w:snapToGrid/>
          <w:lang w:val="en-US" w:eastAsia="en-US"/>
        </w:rPr>
        <w:drawing>
          <wp:inline distT="0" distB="0" distL="0" distR="0" wp14:anchorId="0F343EB2" wp14:editId="6255E311">
            <wp:extent cx="1148878" cy="280908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CP-15F Pelvis AP.png"/>
                    <pic:cNvPicPr/>
                  </pic:nvPicPr>
                  <pic:blipFill>
                    <a:blip r:embed="rId110" cstate="email">
                      <a:extLst>
                        <a:ext uri="{28A0092B-C50C-407E-A947-70E740481C1C}">
                          <a14:useLocalDpi xmlns:a14="http://schemas.microsoft.com/office/drawing/2010/main"/>
                        </a:ext>
                      </a:extLst>
                    </a:blip>
                    <a:stretch>
                      <a:fillRect/>
                    </a:stretch>
                  </pic:blipFill>
                  <pic:spPr>
                    <a:xfrm>
                      <a:off x="0" y="0"/>
                      <a:ext cx="1160838" cy="2838332"/>
                    </a:xfrm>
                    <a:prstGeom prst="rect">
                      <a:avLst/>
                    </a:prstGeom>
                  </pic:spPr>
                </pic:pic>
              </a:graphicData>
            </a:graphic>
          </wp:inline>
        </w:drawing>
      </w:r>
      <w:r>
        <w:rPr>
          <w:noProof/>
          <w:snapToGrid/>
          <w:lang w:val="en-US" w:eastAsia="en-US"/>
        </w:rPr>
        <w:drawing>
          <wp:inline distT="0" distB="0" distL="0" distR="0" wp14:anchorId="13F4EA0E" wp14:editId="35C3DDA0">
            <wp:extent cx="1192118" cy="2781609"/>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RCP-15F Pelvis AP organs.png"/>
                    <pic:cNvPicPr/>
                  </pic:nvPicPr>
                  <pic:blipFill>
                    <a:blip r:embed="rId111" cstate="email">
                      <a:extLst>
                        <a:ext uri="{28A0092B-C50C-407E-A947-70E740481C1C}">
                          <a14:useLocalDpi xmlns:a14="http://schemas.microsoft.com/office/drawing/2010/main"/>
                        </a:ext>
                      </a:extLst>
                    </a:blip>
                    <a:stretch>
                      <a:fillRect/>
                    </a:stretch>
                  </pic:blipFill>
                  <pic:spPr>
                    <a:xfrm flipH="1">
                      <a:off x="0" y="0"/>
                      <a:ext cx="1201253" cy="2802923"/>
                    </a:xfrm>
                    <a:prstGeom prst="rect">
                      <a:avLst/>
                    </a:prstGeom>
                  </pic:spPr>
                </pic:pic>
              </a:graphicData>
            </a:graphic>
          </wp:inline>
        </w:drawing>
      </w:r>
    </w:p>
    <w:p w14:paraId="2C396830" w14:textId="77777777" w:rsidR="00E72CA9" w:rsidRDefault="00D516E3">
      <w:pPr>
        <w:pStyle w:val="Annaddtxt"/>
        <w:tabs>
          <w:tab w:val="clear" w:pos="646"/>
          <w:tab w:val="left" w:pos="851"/>
        </w:tabs>
        <w:spacing w:after="120"/>
        <w:rPr>
          <w:sz w:val="20"/>
        </w:rPr>
      </w:pPr>
      <w:r>
        <w:t xml:space="preserve">                                    </w:t>
      </w:r>
      <w:r>
        <w:rPr>
          <w:sz w:val="20"/>
        </w:rPr>
        <w:t>15-year male                                                15-year female</w:t>
      </w:r>
    </w:p>
    <w:p w14:paraId="315EC3B1" w14:textId="77777777" w:rsidR="00E72CA9" w:rsidRDefault="00D516E3">
      <w:pPr>
        <w:pStyle w:val="Annaddtxt"/>
        <w:tabs>
          <w:tab w:val="clear" w:pos="646"/>
          <w:tab w:val="left" w:pos="851"/>
        </w:tabs>
        <w:rPr>
          <w:sz w:val="22"/>
          <w:szCs w:val="22"/>
          <w:highlight w:val="yellow"/>
        </w:rPr>
      </w:pPr>
      <w:r>
        <w:rPr>
          <w:sz w:val="22"/>
        </w:rPr>
        <w:t xml:space="preserve">Fig. B.15. </w:t>
      </w:r>
      <w:r>
        <w:rPr>
          <w:i/>
          <w:iCs/>
          <w:sz w:val="22"/>
        </w:rPr>
        <w:t>(Continued)</w:t>
      </w:r>
      <w:r>
        <w:rPr>
          <w:sz w:val="22"/>
          <w:szCs w:val="22"/>
          <w:highlight w:val="yellow"/>
        </w:rPr>
        <w:br w:type="page"/>
      </w:r>
    </w:p>
    <w:p w14:paraId="1B86375E" w14:textId="77777777" w:rsidR="00E72CA9" w:rsidRDefault="00D516E3">
      <w:pPr>
        <w:pStyle w:val="ICRPannexheading3"/>
        <w:ind w:hanging="1146"/>
      </w:pPr>
      <w:r>
        <w:lastRenderedPageBreak/>
        <w:t>Abdomen anterior-posterior (AP)</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67715FE9" w14:textId="77777777">
        <w:tc>
          <w:tcPr>
            <w:tcW w:w="3330" w:type="dxa"/>
            <w:shd w:val="clear" w:color="auto" w:fill="auto"/>
          </w:tcPr>
          <w:p w14:paraId="0706D15E"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2B9AA9D0" w14:textId="77777777" w:rsidR="00E72CA9" w:rsidRDefault="00D516E3">
            <w:pPr>
              <w:pStyle w:val="Annalstext"/>
              <w:tabs>
                <w:tab w:val="clear" w:pos="502"/>
              </w:tabs>
              <w:ind w:left="0" w:firstLine="0"/>
              <w:rPr>
                <w:bCs/>
                <w:snapToGrid/>
                <w:sz w:val="20"/>
                <w:lang w:val="en-US"/>
              </w:rPr>
            </w:pPr>
            <w:r>
              <w:rPr>
                <w:bCs/>
                <w:snapToGrid/>
                <w:sz w:val="20"/>
                <w:lang w:val="en-US"/>
              </w:rPr>
              <w:t>From 1-2 cm above dome of diaphragms down to approx. 1 cm below symphysis pubis</w:t>
            </w:r>
            <w:r>
              <w:rPr>
                <w:sz w:val="20"/>
              </w:rPr>
              <w:t xml:space="preserve"> </w:t>
            </w:r>
          </w:p>
        </w:tc>
      </w:tr>
      <w:tr w:rsidR="00E72CA9" w14:paraId="2FADEB3A" w14:textId="77777777">
        <w:tc>
          <w:tcPr>
            <w:tcW w:w="3330" w:type="dxa"/>
            <w:shd w:val="clear" w:color="auto" w:fill="auto"/>
          </w:tcPr>
          <w:p w14:paraId="03795533"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60C63A0D" w14:textId="77777777" w:rsidR="00E72CA9" w:rsidRDefault="00D516E3">
            <w:pPr>
              <w:pStyle w:val="Annalstext"/>
              <w:tabs>
                <w:tab w:val="clear" w:pos="502"/>
              </w:tabs>
              <w:ind w:left="0" w:firstLine="0"/>
              <w:rPr>
                <w:bCs/>
                <w:snapToGrid/>
                <w:sz w:val="20"/>
                <w:lang w:val="en-US"/>
              </w:rPr>
            </w:pPr>
            <w:r>
              <w:rPr>
                <w:bCs/>
                <w:snapToGrid/>
                <w:sz w:val="20"/>
                <w:lang w:val="en-US"/>
              </w:rPr>
              <w:t>Should go approx. 2 cm beyond pelvis on either side</w:t>
            </w:r>
          </w:p>
        </w:tc>
      </w:tr>
      <w:tr w:rsidR="00E72CA9" w14:paraId="788406AD" w14:textId="77777777">
        <w:tc>
          <w:tcPr>
            <w:tcW w:w="3330" w:type="dxa"/>
            <w:shd w:val="clear" w:color="auto" w:fill="auto"/>
          </w:tcPr>
          <w:p w14:paraId="3E25D621"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4C948375" w14:textId="77777777" w:rsidR="00E72CA9" w:rsidRDefault="00D516E3">
            <w:pPr>
              <w:pStyle w:val="Annalstext"/>
              <w:tabs>
                <w:tab w:val="clear" w:pos="502"/>
              </w:tabs>
              <w:ind w:left="0" w:firstLine="0"/>
              <w:rPr>
                <w:bCs/>
                <w:snapToGrid/>
                <w:sz w:val="20"/>
                <w:lang w:val="en-US"/>
              </w:rPr>
            </w:pPr>
            <w:r>
              <w:rPr>
                <w:bCs/>
                <w:snapToGrid/>
                <w:sz w:val="20"/>
                <w:lang w:val="en-US"/>
              </w:rPr>
              <w:t xml:space="preserve">100 cm </w:t>
            </w:r>
          </w:p>
        </w:tc>
      </w:tr>
      <w:tr w:rsidR="00E72CA9" w14:paraId="71D75AB5" w14:textId="77777777">
        <w:tc>
          <w:tcPr>
            <w:tcW w:w="3330" w:type="dxa"/>
            <w:shd w:val="clear" w:color="auto" w:fill="auto"/>
          </w:tcPr>
          <w:p w14:paraId="7C011F9E"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5226EB81" w14:textId="77777777" w:rsidR="00E72CA9" w:rsidRDefault="00D516E3">
            <w:pPr>
              <w:pStyle w:val="Annalstext"/>
              <w:tabs>
                <w:tab w:val="clear" w:pos="502"/>
              </w:tabs>
              <w:ind w:left="0" w:firstLine="0"/>
              <w:rPr>
                <w:bCs/>
                <w:snapToGrid/>
                <w:sz w:val="20"/>
                <w:lang w:val="en-US"/>
              </w:rPr>
            </w:pPr>
            <w:r>
              <w:rPr>
                <w:bCs/>
                <w:snapToGrid/>
                <w:sz w:val="20"/>
                <w:lang w:val="en-US"/>
              </w:rPr>
              <w:t xml:space="preserve">Anti-scatter grid for patient thickness of at least 13-14 cm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p w14:paraId="3A259E7D" w14:textId="77777777" w:rsidR="00E72CA9" w:rsidRDefault="00D516E3">
            <w:pPr>
              <w:pStyle w:val="Annalstext"/>
              <w:tabs>
                <w:tab w:val="clear" w:pos="502"/>
              </w:tabs>
              <w:ind w:left="0" w:firstLine="0"/>
              <w:rPr>
                <w:bCs/>
                <w:snapToGrid/>
                <w:sz w:val="20"/>
                <w:lang w:val="en-US"/>
              </w:rPr>
            </w:pPr>
            <w:r>
              <w:rPr>
                <w:bCs/>
                <w:snapToGrid/>
                <w:sz w:val="20"/>
                <w:lang w:val="en-US"/>
              </w:rPr>
              <w:t>0 cm (no grid) for newborn</w:t>
            </w:r>
          </w:p>
          <w:p w14:paraId="503DE718" w14:textId="77777777" w:rsidR="00E72CA9" w:rsidRDefault="00D516E3">
            <w:pPr>
              <w:pStyle w:val="Annalstext"/>
              <w:tabs>
                <w:tab w:val="clear" w:pos="502"/>
              </w:tabs>
              <w:ind w:left="0" w:firstLine="0"/>
              <w:rPr>
                <w:bCs/>
                <w:snapToGrid/>
                <w:sz w:val="20"/>
                <w:lang w:val="en-US"/>
              </w:rPr>
            </w:pPr>
            <w:r>
              <w:rPr>
                <w:bCs/>
                <w:snapToGrid/>
                <w:sz w:val="20"/>
                <w:lang w:val="en-US"/>
              </w:rPr>
              <w:t>10 cm (grid) for 1-year, 5-year, 10-year and 15-year old</w:t>
            </w:r>
          </w:p>
        </w:tc>
      </w:tr>
    </w:tbl>
    <w:p w14:paraId="6DBFCD88" w14:textId="77777777" w:rsidR="00E72CA9" w:rsidRDefault="00D516E3">
      <w:pPr>
        <w:pStyle w:val="Annaddtxt"/>
        <w:tabs>
          <w:tab w:val="clear" w:pos="646"/>
          <w:tab w:val="left" w:pos="851"/>
        </w:tabs>
        <w:spacing w:before="120"/>
        <w:jc w:val="center"/>
      </w:pPr>
      <w:r>
        <w:rPr>
          <w:noProof/>
          <w:snapToGrid/>
          <w:lang w:val="en-US" w:eastAsia="en-US"/>
        </w:rPr>
        <w:drawing>
          <wp:inline distT="0" distB="0" distL="0" distR="0" wp14:anchorId="361A01FE" wp14:editId="1ECB2FF6">
            <wp:extent cx="1340618" cy="289810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CP-00M_Abdomen AP_no-organs.png"/>
                    <pic:cNvPicPr/>
                  </pic:nvPicPr>
                  <pic:blipFill>
                    <a:blip r:embed="rId112" cstate="email">
                      <a:extLst>
                        <a:ext uri="{28A0092B-C50C-407E-A947-70E740481C1C}">
                          <a14:useLocalDpi xmlns:a14="http://schemas.microsoft.com/office/drawing/2010/main"/>
                        </a:ext>
                      </a:extLst>
                    </a:blip>
                    <a:stretch>
                      <a:fillRect/>
                    </a:stretch>
                  </pic:blipFill>
                  <pic:spPr>
                    <a:xfrm>
                      <a:off x="0" y="0"/>
                      <a:ext cx="1355050" cy="2929301"/>
                    </a:xfrm>
                    <a:prstGeom prst="rect">
                      <a:avLst/>
                    </a:prstGeom>
                  </pic:spPr>
                </pic:pic>
              </a:graphicData>
            </a:graphic>
          </wp:inline>
        </w:drawing>
      </w:r>
      <w:r>
        <w:rPr>
          <w:noProof/>
          <w:snapToGrid/>
          <w:lang w:val="en-US" w:eastAsia="en-US"/>
        </w:rPr>
        <w:drawing>
          <wp:inline distT="0" distB="0" distL="0" distR="0" wp14:anchorId="73FBBD2A" wp14:editId="1B94FB6E">
            <wp:extent cx="1309044" cy="2881877"/>
            <wp:effectExtent l="0" t="0" r="571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RCP-00M_Abdomen AP.png"/>
                    <pic:cNvPicPr/>
                  </pic:nvPicPr>
                  <pic:blipFill>
                    <a:blip r:embed="rId113" cstate="email">
                      <a:extLst>
                        <a:ext uri="{28A0092B-C50C-407E-A947-70E740481C1C}">
                          <a14:useLocalDpi xmlns:a14="http://schemas.microsoft.com/office/drawing/2010/main"/>
                        </a:ext>
                      </a:extLst>
                    </a:blip>
                    <a:stretch>
                      <a:fillRect/>
                    </a:stretch>
                  </pic:blipFill>
                  <pic:spPr>
                    <a:xfrm>
                      <a:off x="0" y="0"/>
                      <a:ext cx="1326945" cy="2921287"/>
                    </a:xfrm>
                    <a:prstGeom prst="rect">
                      <a:avLst/>
                    </a:prstGeom>
                  </pic:spPr>
                </pic:pic>
              </a:graphicData>
            </a:graphic>
          </wp:inline>
        </w:drawing>
      </w:r>
      <w:r>
        <w:rPr>
          <w:noProof/>
          <w:snapToGrid/>
          <w:lang w:val="en-US" w:eastAsia="en-US"/>
        </w:rPr>
        <w:drawing>
          <wp:inline distT="0" distB="0" distL="0" distR="0" wp14:anchorId="3D7E7883" wp14:editId="37E2135B">
            <wp:extent cx="1237517" cy="2887541"/>
            <wp:effectExtent l="0" t="0" r="127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CP-01M_Abdomen AP_no-organs.png"/>
                    <pic:cNvPicPr/>
                  </pic:nvPicPr>
                  <pic:blipFill>
                    <a:blip r:embed="rId114" cstate="email">
                      <a:extLst>
                        <a:ext uri="{28A0092B-C50C-407E-A947-70E740481C1C}">
                          <a14:useLocalDpi xmlns:a14="http://schemas.microsoft.com/office/drawing/2010/main"/>
                        </a:ext>
                      </a:extLst>
                    </a:blip>
                    <a:stretch>
                      <a:fillRect/>
                    </a:stretch>
                  </pic:blipFill>
                  <pic:spPr>
                    <a:xfrm>
                      <a:off x="0" y="0"/>
                      <a:ext cx="1246736" cy="2909052"/>
                    </a:xfrm>
                    <a:prstGeom prst="rect">
                      <a:avLst/>
                    </a:prstGeom>
                  </pic:spPr>
                </pic:pic>
              </a:graphicData>
            </a:graphic>
          </wp:inline>
        </w:drawing>
      </w:r>
      <w:r>
        <w:rPr>
          <w:noProof/>
          <w:snapToGrid/>
          <w:lang w:val="en-US" w:eastAsia="en-US"/>
        </w:rPr>
        <w:drawing>
          <wp:inline distT="0" distB="0" distL="0" distR="0" wp14:anchorId="770D54C2" wp14:editId="55799A59">
            <wp:extent cx="1114738" cy="2883633"/>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RCP-01M_Abdomen AP.png"/>
                    <pic:cNvPicPr/>
                  </pic:nvPicPr>
                  <pic:blipFill>
                    <a:blip r:embed="rId115" cstate="email">
                      <a:extLst>
                        <a:ext uri="{28A0092B-C50C-407E-A947-70E740481C1C}">
                          <a14:useLocalDpi xmlns:a14="http://schemas.microsoft.com/office/drawing/2010/main"/>
                        </a:ext>
                      </a:extLst>
                    </a:blip>
                    <a:stretch>
                      <a:fillRect/>
                    </a:stretch>
                  </pic:blipFill>
                  <pic:spPr>
                    <a:xfrm>
                      <a:off x="0" y="0"/>
                      <a:ext cx="1126037" cy="2912862"/>
                    </a:xfrm>
                    <a:prstGeom prst="rect">
                      <a:avLst/>
                    </a:prstGeom>
                  </pic:spPr>
                </pic:pic>
              </a:graphicData>
            </a:graphic>
          </wp:inline>
        </w:drawing>
      </w:r>
    </w:p>
    <w:p w14:paraId="723CDD4E" w14:textId="77777777" w:rsidR="00E72CA9" w:rsidRDefault="00D516E3">
      <w:pPr>
        <w:pStyle w:val="Annaddtxt"/>
        <w:tabs>
          <w:tab w:val="clear" w:pos="646"/>
          <w:tab w:val="left" w:pos="851"/>
        </w:tabs>
        <w:rPr>
          <w:sz w:val="20"/>
        </w:rPr>
      </w:pPr>
      <w:r>
        <w:t xml:space="preserve">                                      </w:t>
      </w:r>
      <w:r>
        <w:rPr>
          <w:sz w:val="20"/>
        </w:rPr>
        <w:t xml:space="preserve">Newborn                                                                1-year old                 </w:t>
      </w:r>
    </w:p>
    <w:p w14:paraId="2402DFC4"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35233C8C" wp14:editId="23D69623">
            <wp:extent cx="1234192" cy="2758782"/>
            <wp:effectExtent l="0" t="0" r="4445"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CP-05M Abdomen AP.png"/>
                    <pic:cNvPicPr/>
                  </pic:nvPicPr>
                  <pic:blipFill>
                    <a:blip r:embed="rId116" cstate="email">
                      <a:extLst>
                        <a:ext uri="{28A0092B-C50C-407E-A947-70E740481C1C}">
                          <a14:useLocalDpi xmlns:a14="http://schemas.microsoft.com/office/drawing/2010/main"/>
                        </a:ext>
                      </a:extLst>
                    </a:blip>
                    <a:stretch>
                      <a:fillRect/>
                    </a:stretch>
                  </pic:blipFill>
                  <pic:spPr>
                    <a:xfrm>
                      <a:off x="0" y="0"/>
                      <a:ext cx="1249832" cy="2793742"/>
                    </a:xfrm>
                    <a:prstGeom prst="rect">
                      <a:avLst/>
                    </a:prstGeom>
                  </pic:spPr>
                </pic:pic>
              </a:graphicData>
            </a:graphic>
          </wp:inline>
        </w:drawing>
      </w:r>
      <w:r>
        <w:rPr>
          <w:noProof/>
          <w:snapToGrid/>
          <w:lang w:val="en-US" w:eastAsia="en-US"/>
        </w:rPr>
        <w:drawing>
          <wp:inline distT="0" distB="0" distL="0" distR="0" wp14:anchorId="7A4A76EE" wp14:editId="15C18DD6">
            <wp:extent cx="1139764" cy="2757594"/>
            <wp:effectExtent l="0" t="0" r="3810" b="50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RCP-05M Abdomen AP organs.png"/>
                    <pic:cNvPicPr/>
                  </pic:nvPicPr>
                  <pic:blipFill>
                    <a:blip r:embed="rId117" cstate="email">
                      <a:extLst>
                        <a:ext uri="{28A0092B-C50C-407E-A947-70E740481C1C}">
                          <a14:useLocalDpi xmlns:a14="http://schemas.microsoft.com/office/drawing/2010/main"/>
                        </a:ext>
                      </a:extLst>
                    </a:blip>
                    <a:stretch>
                      <a:fillRect/>
                    </a:stretch>
                  </pic:blipFill>
                  <pic:spPr>
                    <a:xfrm>
                      <a:off x="0" y="0"/>
                      <a:ext cx="1154404" cy="2793016"/>
                    </a:xfrm>
                    <a:prstGeom prst="rect">
                      <a:avLst/>
                    </a:prstGeom>
                  </pic:spPr>
                </pic:pic>
              </a:graphicData>
            </a:graphic>
          </wp:inline>
        </w:drawing>
      </w:r>
      <w:r>
        <w:rPr>
          <w:noProof/>
          <w:snapToGrid/>
          <w:lang w:val="en-US" w:eastAsia="en-US"/>
        </w:rPr>
        <w:drawing>
          <wp:inline distT="0" distB="0" distL="0" distR="0" wp14:anchorId="3D6B0A82" wp14:editId="4E7EE6CE">
            <wp:extent cx="1144783" cy="273987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CP-10M Abdomen AP.png"/>
                    <pic:cNvPicPr/>
                  </pic:nvPicPr>
                  <pic:blipFill>
                    <a:blip r:embed="rId118" cstate="email">
                      <a:extLst>
                        <a:ext uri="{28A0092B-C50C-407E-A947-70E740481C1C}">
                          <a14:useLocalDpi xmlns:a14="http://schemas.microsoft.com/office/drawing/2010/main"/>
                        </a:ext>
                      </a:extLst>
                    </a:blip>
                    <a:stretch>
                      <a:fillRect/>
                    </a:stretch>
                  </pic:blipFill>
                  <pic:spPr>
                    <a:xfrm>
                      <a:off x="0" y="0"/>
                      <a:ext cx="1158054" cy="2771632"/>
                    </a:xfrm>
                    <a:prstGeom prst="rect">
                      <a:avLst/>
                    </a:prstGeom>
                  </pic:spPr>
                </pic:pic>
              </a:graphicData>
            </a:graphic>
          </wp:inline>
        </w:drawing>
      </w:r>
      <w:r>
        <w:rPr>
          <w:noProof/>
          <w:snapToGrid/>
          <w:lang w:val="en-US" w:eastAsia="en-US"/>
        </w:rPr>
        <w:drawing>
          <wp:inline distT="0" distB="0" distL="0" distR="0" wp14:anchorId="756954E9" wp14:editId="64EB53F2">
            <wp:extent cx="1033461" cy="2733773"/>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RCP-10M Abdomen AP organs.png"/>
                    <pic:cNvPicPr/>
                  </pic:nvPicPr>
                  <pic:blipFill>
                    <a:blip r:embed="rId119" cstate="email">
                      <a:extLst>
                        <a:ext uri="{28A0092B-C50C-407E-A947-70E740481C1C}">
                          <a14:useLocalDpi xmlns:a14="http://schemas.microsoft.com/office/drawing/2010/main"/>
                        </a:ext>
                      </a:extLst>
                    </a:blip>
                    <a:stretch>
                      <a:fillRect/>
                    </a:stretch>
                  </pic:blipFill>
                  <pic:spPr>
                    <a:xfrm>
                      <a:off x="0" y="0"/>
                      <a:ext cx="1053064" cy="2785628"/>
                    </a:xfrm>
                    <a:prstGeom prst="rect">
                      <a:avLst/>
                    </a:prstGeom>
                  </pic:spPr>
                </pic:pic>
              </a:graphicData>
            </a:graphic>
          </wp:inline>
        </w:drawing>
      </w:r>
    </w:p>
    <w:p w14:paraId="1D4F215F" w14:textId="77777777" w:rsidR="00E72CA9" w:rsidRDefault="00D516E3">
      <w:pPr>
        <w:pStyle w:val="Annaddtxt"/>
        <w:tabs>
          <w:tab w:val="clear" w:pos="646"/>
          <w:tab w:val="left" w:pos="851"/>
        </w:tabs>
        <w:spacing w:after="120"/>
        <w:rPr>
          <w:sz w:val="20"/>
        </w:rPr>
      </w:pPr>
      <w:r>
        <w:t xml:space="preserve">                                         </w:t>
      </w:r>
      <w:r>
        <w:rPr>
          <w:sz w:val="20"/>
        </w:rPr>
        <w:t xml:space="preserve">5-year old                                                     10-year old            </w:t>
      </w:r>
    </w:p>
    <w:p w14:paraId="7FBFF1B4" w14:textId="77777777" w:rsidR="00E72CA9" w:rsidRDefault="00D516E3">
      <w:pPr>
        <w:pStyle w:val="Annaddtxt"/>
        <w:tabs>
          <w:tab w:val="clear" w:pos="646"/>
          <w:tab w:val="left" w:pos="851"/>
        </w:tabs>
        <w:rPr>
          <w:sz w:val="22"/>
          <w:szCs w:val="22"/>
          <w:highlight w:val="yellow"/>
        </w:rPr>
      </w:pPr>
      <w:r>
        <w:rPr>
          <w:sz w:val="22"/>
        </w:rPr>
        <w:t xml:space="preserve">Fig. B.16. Coronal images at the centre of the paediatric reference phantoms showing the anatomical landmarks for </w:t>
      </w:r>
      <w:r>
        <w:rPr>
          <w:sz w:val="22"/>
          <w:szCs w:val="22"/>
        </w:rPr>
        <w:t>abdomen anterior-posterior examination</w:t>
      </w:r>
      <w:r>
        <w:rPr>
          <w:sz w:val="22"/>
        </w:rPr>
        <w:t xml:space="preserve">. </w:t>
      </w:r>
      <w:r>
        <w:rPr>
          <w:sz w:val="22"/>
          <w:szCs w:val="22"/>
        </w:rPr>
        <w:t xml:space="preserve">For </w:t>
      </w:r>
      <w:r>
        <w:rPr>
          <w:bCs/>
          <w:snapToGrid/>
          <w:sz w:val="22"/>
          <w:szCs w:val="22"/>
          <w:lang w:val="en-US"/>
        </w:rPr>
        <w:t xml:space="preserve">newborn, 1-year, 5-year and 10-year old, the images for the male phantoms are shown. For 15-year old (third row), images for the male and female are shown. </w:t>
      </w:r>
      <w:r>
        <w:rPr>
          <w:sz w:val="22"/>
        </w:rPr>
        <w:t xml:space="preserve">Left to right: the first image shows only the skeletal landmarks and the second image adds the organs of interest </w:t>
      </w:r>
      <w:r>
        <w:rPr>
          <w:i/>
          <w:iCs/>
          <w:sz w:val="22"/>
        </w:rPr>
        <w:t>(continued on next page)</w:t>
      </w:r>
      <w:r>
        <w:rPr>
          <w:sz w:val="22"/>
        </w:rPr>
        <w:t>.</w:t>
      </w:r>
    </w:p>
    <w:p w14:paraId="01A88F70" w14:textId="77777777" w:rsidR="00E72CA9" w:rsidRDefault="00E72CA9">
      <w:pPr>
        <w:pStyle w:val="Annaddtxt"/>
        <w:tabs>
          <w:tab w:val="clear" w:pos="646"/>
          <w:tab w:val="left" w:pos="851"/>
        </w:tabs>
        <w:rPr>
          <w:sz w:val="22"/>
          <w:szCs w:val="22"/>
          <w:highlight w:val="yellow"/>
        </w:rPr>
      </w:pPr>
    </w:p>
    <w:p w14:paraId="3A9377B5" w14:textId="77777777" w:rsidR="00E72CA9" w:rsidRDefault="00D516E3">
      <w:pPr>
        <w:pStyle w:val="Annaddtxt"/>
        <w:tabs>
          <w:tab w:val="clear" w:pos="646"/>
          <w:tab w:val="left" w:pos="851"/>
        </w:tabs>
      </w:pPr>
      <w:r>
        <w:t xml:space="preserve">      </w:t>
      </w:r>
    </w:p>
    <w:p w14:paraId="46642130" w14:textId="77777777" w:rsidR="00E72CA9" w:rsidRDefault="00D516E3">
      <w:pPr>
        <w:pStyle w:val="Annaddtxt"/>
        <w:tabs>
          <w:tab w:val="clear" w:pos="646"/>
          <w:tab w:val="left" w:pos="851"/>
        </w:tabs>
        <w:jc w:val="center"/>
      </w:pPr>
      <w:r>
        <w:rPr>
          <w:noProof/>
          <w:snapToGrid/>
          <w:lang w:val="en-US" w:eastAsia="en-US"/>
        </w:rPr>
        <w:lastRenderedPageBreak/>
        <w:drawing>
          <wp:inline distT="0" distB="0" distL="0" distR="0" wp14:anchorId="33005AEF" wp14:editId="2FAD4B82">
            <wp:extent cx="1142484" cy="2750896"/>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CP-15M Abdomen AP.png"/>
                    <pic:cNvPicPr/>
                  </pic:nvPicPr>
                  <pic:blipFill>
                    <a:blip r:embed="rId120" cstate="email">
                      <a:extLst>
                        <a:ext uri="{28A0092B-C50C-407E-A947-70E740481C1C}">
                          <a14:useLocalDpi xmlns:a14="http://schemas.microsoft.com/office/drawing/2010/main"/>
                        </a:ext>
                      </a:extLst>
                    </a:blip>
                    <a:stretch>
                      <a:fillRect/>
                    </a:stretch>
                  </pic:blipFill>
                  <pic:spPr>
                    <a:xfrm>
                      <a:off x="0" y="0"/>
                      <a:ext cx="1153527" cy="2777486"/>
                    </a:xfrm>
                    <a:prstGeom prst="rect">
                      <a:avLst/>
                    </a:prstGeom>
                  </pic:spPr>
                </pic:pic>
              </a:graphicData>
            </a:graphic>
          </wp:inline>
        </w:drawing>
      </w:r>
      <w:r>
        <w:rPr>
          <w:noProof/>
          <w:snapToGrid/>
          <w:lang w:val="en-US" w:eastAsia="en-US"/>
        </w:rPr>
        <w:drawing>
          <wp:inline distT="0" distB="0" distL="0" distR="0" wp14:anchorId="2636750C" wp14:editId="12351764">
            <wp:extent cx="1143781" cy="2783737"/>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RCP-15M Abdomen AP organs.png"/>
                    <pic:cNvPicPr/>
                  </pic:nvPicPr>
                  <pic:blipFill>
                    <a:blip r:embed="rId121" cstate="email">
                      <a:extLst>
                        <a:ext uri="{28A0092B-C50C-407E-A947-70E740481C1C}">
                          <a14:useLocalDpi xmlns:a14="http://schemas.microsoft.com/office/drawing/2010/main"/>
                        </a:ext>
                      </a:extLst>
                    </a:blip>
                    <a:stretch>
                      <a:fillRect/>
                    </a:stretch>
                  </pic:blipFill>
                  <pic:spPr>
                    <a:xfrm>
                      <a:off x="0" y="0"/>
                      <a:ext cx="1155683" cy="2812704"/>
                    </a:xfrm>
                    <a:prstGeom prst="rect">
                      <a:avLst/>
                    </a:prstGeom>
                  </pic:spPr>
                </pic:pic>
              </a:graphicData>
            </a:graphic>
          </wp:inline>
        </w:drawing>
      </w:r>
      <w:r>
        <w:rPr>
          <w:noProof/>
          <w:snapToGrid/>
          <w:lang w:val="en-US" w:eastAsia="en-US"/>
        </w:rPr>
        <w:drawing>
          <wp:inline distT="0" distB="0" distL="0" distR="0" wp14:anchorId="19CF1C7D" wp14:editId="3984B3FD">
            <wp:extent cx="1146517" cy="2761197"/>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CP-15F Abdomen AP.png"/>
                    <pic:cNvPicPr/>
                  </pic:nvPicPr>
                  <pic:blipFill>
                    <a:blip r:embed="rId122" cstate="email">
                      <a:extLst>
                        <a:ext uri="{28A0092B-C50C-407E-A947-70E740481C1C}">
                          <a14:useLocalDpi xmlns:a14="http://schemas.microsoft.com/office/drawing/2010/main"/>
                        </a:ext>
                      </a:extLst>
                    </a:blip>
                    <a:stretch>
                      <a:fillRect/>
                    </a:stretch>
                  </pic:blipFill>
                  <pic:spPr>
                    <a:xfrm>
                      <a:off x="0" y="0"/>
                      <a:ext cx="1158343" cy="2789677"/>
                    </a:xfrm>
                    <a:prstGeom prst="rect">
                      <a:avLst/>
                    </a:prstGeom>
                  </pic:spPr>
                </pic:pic>
              </a:graphicData>
            </a:graphic>
          </wp:inline>
        </w:drawing>
      </w:r>
      <w:r>
        <w:rPr>
          <w:noProof/>
          <w:snapToGrid/>
          <w:lang w:val="en-US" w:eastAsia="en-US"/>
        </w:rPr>
        <w:drawing>
          <wp:inline distT="0" distB="0" distL="0" distR="0" wp14:anchorId="32F9BCD0" wp14:editId="31CD517A">
            <wp:extent cx="1051607" cy="277241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RCP-15F Abdomen AP organs.png"/>
                    <pic:cNvPicPr/>
                  </pic:nvPicPr>
                  <pic:blipFill>
                    <a:blip r:embed="rId123" cstate="email">
                      <a:extLst>
                        <a:ext uri="{28A0092B-C50C-407E-A947-70E740481C1C}">
                          <a14:useLocalDpi xmlns:a14="http://schemas.microsoft.com/office/drawing/2010/main"/>
                        </a:ext>
                      </a:extLst>
                    </a:blip>
                    <a:stretch>
                      <a:fillRect/>
                    </a:stretch>
                  </pic:blipFill>
                  <pic:spPr>
                    <a:xfrm>
                      <a:off x="0" y="0"/>
                      <a:ext cx="1063260" cy="2803138"/>
                    </a:xfrm>
                    <a:prstGeom prst="rect">
                      <a:avLst/>
                    </a:prstGeom>
                  </pic:spPr>
                </pic:pic>
              </a:graphicData>
            </a:graphic>
          </wp:inline>
        </w:drawing>
      </w:r>
    </w:p>
    <w:p w14:paraId="0A5A09DB" w14:textId="77777777" w:rsidR="00E72CA9" w:rsidRDefault="00D516E3">
      <w:pPr>
        <w:pStyle w:val="Annaddtxt"/>
        <w:tabs>
          <w:tab w:val="clear" w:pos="646"/>
          <w:tab w:val="left" w:pos="851"/>
        </w:tabs>
        <w:spacing w:after="120"/>
        <w:rPr>
          <w:sz w:val="20"/>
        </w:rPr>
      </w:pPr>
      <w:r>
        <w:t xml:space="preserve">                                      </w:t>
      </w:r>
      <w:r>
        <w:rPr>
          <w:sz w:val="20"/>
        </w:rPr>
        <w:t>15-year male                                                15-year female</w:t>
      </w:r>
    </w:p>
    <w:p w14:paraId="3B38BAC0" w14:textId="77777777" w:rsidR="00E72CA9" w:rsidRDefault="00D516E3">
      <w:pPr>
        <w:pStyle w:val="Annaddtxt"/>
        <w:tabs>
          <w:tab w:val="clear" w:pos="646"/>
          <w:tab w:val="left" w:pos="851"/>
        </w:tabs>
        <w:rPr>
          <w:sz w:val="22"/>
          <w:szCs w:val="22"/>
          <w:highlight w:val="yellow"/>
        </w:rPr>
      </w:pPr>
      <w:r>
        <w:rPr>
          <w:sz w:val="22"/>
        </w:rPr>
        <w:t xml:space="preserve">Fig. B.16. </w:t>
      </w:r>
      <w:r>
        <w:rPr>
          <w:i/>
          <w:iCs/>
          <w:sz w:val="22"/>
        </w:rPr>
        <w:t>(Continued)</w:t>
      </w:r>
    </w:p>
    <w:p w14:paraId="0A612754" w14:textId="77777777" w:rsidR="00E72CA9" w:rsidRDefault="00D516E3">
      <w:pPr>
        <w:pStyle w:val="ICRPannexheading3"/>
        <w:ind w:hanging="1146"/>
      </w:pPr>
      <w:r>
        <w:t>Lumbar spine anterior-posterior (AP)</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286F3FC6" w14:textId="77777777">
        <w:tc>
          <w:tcPr>
            <w:tcW w:w="3330" w:type="dxa"/>
            <w:shd w:val="clear" w:color="auto" w:fill="auto"/>
          </w:tcPr>
          <w:p w14:paraId="4C2E713F"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2CBB4C6A" w14:textId="77777777" w:rsidR="00E72CA9" w:rsidRDefault="00D516E3">
            <w:pPr>
              <w:pStyle w:val="Annalstext"/>
              <w:tabs>
                <w:tab w:val="clear" w:pos="502"/>
              </w:tabs>
              <w:ind w:left="0" w:firstLine="0"/>
              <w:rPr>
                <w:bCs/>
                <w:snapToGrid/>
                <w:sz w:val="20"/>
                <w:lang w:val="en-US"/>
              </w:rPr>
            </w:pPr>
            <w:r>
              <w:rPr>
                <w:bCs/>
                <w:snapToGrid/>
                <w:sz w:val="20"/>
                <w:lang w:val="en-US"/>
              </w:rPr>
              <w:t>From T11 or ca. mid T10 down to half sacrum (above coccyx)</w:t>
            </w:r>
          </w:p>
        </w:tc>
      </w:tr>
      <w:tr w:rsidR="00E72CA9" w14:paraId="60F3BAD4" w14:textId="77777777">
        <w:tc>
          <w:tcPr>
            <w:tcW w:w="3330" w:type="dxa"/>
            <w:shd w:val="clear" w:color="auto" w:fill="auto"/>
          </w:tcPr>
          <w:p w14:paraId="4EEE4A6C"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26A9F39E" w14:textId="77777777" w:rsidR="00E72CA9" w:rsidRDefault="00D516E3">
            <w:pPr>
              <w:pStyle w:val="Annalstext"/>
              <w:tabs>
                <w:tab w:val="clear" w:pos="502"/>
              </w:tabs>
              <w:ind w:left="0" w:firstLine="0"/>
              <w:rPr>
                <w:bCs/>
                <w:snapToGrid/>
                <w:sz w:val="20"/>
                <w:lang w:val="en-US"/>
              </w:rPr>
            </w:pPr>
            <w:r>
              <w:rPr>
                <w:bCs/>
                <w:snapToGrid/>
                <w:sz w:val="20"/>
                <w:lang w:val="en-US"/>
              </w:rPr>
              <w:t>Should include at least all of the SI joints</w:t>
            </w:r>
          </w:p>
        </w:tc>
      </w:tr>
      <w:tr w:rsidR="00E72CA9" w14:paraId="48C0608B" w14:textId="77777777">
        <w:tc>
          <w:tcPr>
            <w:tcW w:w="3330" w:type="dxa"/>
            <w:shd w:val="clear" w:color="auto" w:fill="auto"/>
          </w:tcPr>
          <w:p w14:paraId="01534D55"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73CA6215" w14:textId="77777777" w:rsidR="00E72CA9" w:rsidRDefault="00D516E3">
            <w:pPr>
              <w:pStyle w:val="Annalstext"/>
              <w:tabs>
                <w:tab w:val="clear" w:pos="502"/>
              </w:tabs>
              <w:ind w:left="0" w:firstLine="0"/>
              <w:rPr>
                <w:bCs/>
                <w:snapToGrid/>
                <w:sz w:val="20"/>
                <w:lang w:val="en-US"/>
              </w:rPr>
            </w:pPr>
            <w:r>
              <w:rPr>
                <w:bCs/>
                <w:snapToGrid/>
                <w:sz w:val="20"/>
                <w:lang w:val="en-US"/>
              </w:rPr>
              <w:t>100 cm for newborn and 1-year old</w:t>
            </w:r>
          </w:p>
          <w:p w14:paraId="3621C647" w14:textId="77777777" w:rsidR="00E72CA9" w:rsidRDefault="00D516E3">
            <w:pPr>
              <w:pStyle w:val="Annalstext"/>
              <w:tabs>
                <w:tab w:val="clear" w:pos="502"/>
              </w:tabs>
              <w:ind w:left="0" w:firstLine="0"/>
              <w:rPr>
                <w:bCs/>
                <w:snapToGrid/>
                <w:sz w:val="20"/>
                <w:lang w:val="en-US"/>
              </w:rPr>
            </w:pPr>
            <w:r>
              <w:rPr>
                <w:bCs/>
                <w:snapToGrid/>
                <w:sz w:val="20"/>
                <w:lang w:val="en-US"/>
              </w:rPr>
              <w:t>115 cm for 5-year, 10-year and 15-year old</w:t>
            </w:r>
          </w:p>
        </w:tc>
      </w:tr>
      <w:tr w:rsidR="00E72CA9" w14:paraId="7587E3E6" w14:textId="77777777">
        <w:tc>
          <w:tcPr>
            <w:tcW w:w="3330" w:type="dxa"/>
            <w:shd w:val="clear" w:color="auto" w:fill="auto"/>
          </w:tcPr>
          <w:p w14:paraId="17448AAB"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3B887140" w14:textId="77777777" w:rsidR="00E72CA9" w:rsidRDefault="00D516E3">
            <w:pPr>
              <w:pStyle w:val="Annalstext"/>
              <w:tabs>
                <w:tab w:val="clear" w:pos="502"/>
              </w:tabs>
              <w:ind w:left="0" w:firstLine="0"/>
              <w:rPr>
                <w:bCs/>
                <w:snapToGrid/>
                <w:sz w:val="20"/>
                <w:lang w:val="en-US"/>
              </w:rPr>
            </w:pPr>
            <w:r>
              <w:rPr>
                <w:bCs/>
                <w:snapToGrid/>
                <w:sz w:val="20"/>
                <w:lang w:val="en-US"/>
              </w:rPr>
              <w:t xml:space="preserve">Anti-scatter grid for patient thickness of at least 13-14 cm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p w14:paraId="7C6D87C0" w14:textId="77777777" w:rsidR="00E72CA9" w:rsidRDefault="00D516E3">
            <w:pPr>
              <w:pStyle w:val="Annalstext"/>
              <w:tabs>
                <w:tab w:val="clear" w:pos="502"/>
              </w:tabs>
              <w:ind w:left="0" w:firstLine="0"/>
              <w:rPr>
                <w:bCs/>
                <w:snapToGrid/>
                <w:sz w:val="20"/>
                <w:lang w:val="en-US"/>
              </w:rPr>
            </w:pPr>
            <w:r>
              <w:rPr>
                <w:bCs/>
                <w:snapToGrid/>
                <w:sz w:val="20"/>
                <w:lang w:val="en-US"/>
              </w:rPr>
              <w:t>0 cm (no grid) for newborn</w:t>
            </w:r>
          </w:p>
          <w:p w14:paraId="10FDD959" w14:textId="77777777" w:rsidR="00E72CA9" w:rsidRDefault="00D516E3">
            <w:pPr>
              <w:pStyle w:val="Annalstext"/>
              <w:tabs>
                <w:tab w:val="clear" w:pos="502"/>
              </w:tabs>
              <w:ind w:left="0" w:firstLine="0"/>
              <w:rPr>
                <w:bCs/>
                <w:snapToGrid/>
                <w:sz w:val="20"/>
                <w:lang w:val="en-US"/>
              </w:rPr>
            </w:pPr>
            <w:r>
              <w:rPr>
                <w:bCs/>
                <w:snapToGrid/>
                <w:sz w:val="20"/>
                <w:lang w:val="en-US"/>
              </w:rPr>
              <w:t>10 cm (grid) for 1-year, 5-year, 10-year and 15-year old</w:t>
            </w:r>
          </w:p>
        </w:tc>
      </w:tr>
    </w:tbl>
    <w:p w14:paraId="793EF413"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2CBB8DF6" wp14:editId="3241EBA3">
            <wp:extent cx="1196534" cy="2592000"/>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CP-00M_Lumbar spine AP_no-organs.png"/>
                    <pic:cNvPicPr/>
                  </pic:nvPicPr>
                  <pic:blipFill>
                    <a:blip r:embed="rId124" cstate="email">
                      <a:extLst>
                        <a:ext uri="{28A0092B-C50C-407E-A947-70E740481C1C}">
                          <a14:useLocalDpi xmlns:a14="http://schemas.microsoft.com/office/drawing/2010/main"/>
                        </a:ext>
                      </a:extLst>
                    </a:blip>
                    <a:stretch>
                      <a:fillRect/>
                    </a:stretch>
                  </pic:blipFill>
                  <pic:spPr>
                    <a:xfrm>
                      <a:off x="0" y="0"/>
                      <a:ext cx="1196534" cy="2592000"/>
                    </a:xfrm>
                    <a:prstGeom prst="rect">
                      <a:avLst/>
                    </a:prstGeom>
                  </pic:spPr>
                </pic:pic>
              </a:graphicData>
            </a:graphic>
          </wp:inline>
        </w:drawing>
      </w:r>
      <w:r>
        <w:rPr>
          <w:noProof/>
          <w:snapToGrid/>
          <w:lang w:val="en-US" w:eastAsia="en-US"/>
        </w:rPr>
        <w:drawing>
          <wp:inline distT="0" distB="0" distL="0" distR="0" wp14:anchorId="25F99AD1" wp14:editId="73B50C27">
            <wp:extent cx="1207620" cy="2628000"/>
            <wp:effectExtent l="0" t="0" r="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RCP-00M_Lumbar spine AP.png"/>
                    <pic:cNvPicPr/>
                  </pic:nvPicPr>
                  <pic:blipFill>
                    <a:blip r:embed="rId125" cstate="email">
                      <a:extLst>
                        <a:ext uri="{28A0092B-C50C-407E-A947-70E740481C1C}">
                          <a14:useLocalDpi xmlns:a14="http://schemas.microsoft.com/office/drawing/2010/main"/>
                        </a:ext>
                      </a:extLst>
                    </a:blip>
                    <a:stretch>
                      <a:fillRect/>
                    </a:stretch>
                  </pic:blipFill>
                  <pic:spPr>
                    <a:xfrm>
                      <a:off x="0" y="0"/>
                      <a:ext cx="1207620" cy="2628000"/>
                    </a:xfrm>
                    <a:prstGeom prst="rect">
                      <a:avLst/>
                    </a:prstGeom>
                  </pic:spPr>
                </pic:pic>
              </a:graphicData>
            </a:graphic>
          </wp:inline>
        </w:drawing>
      </w:r>
      <w:r>
        <w:rPr>
          <w:noProof/>
          <w:snapToGrid/>
          <w:lang w:val="en-US" w:eastAsia="en-US"/>
        </w:rPr>
        <w:drawing>
          <wp:inline distT="0" distB="0" distL="0" distR="0" wp14:anchorId="03A03845" wp14:editId="349B6B89">
            <wp:extent cx="1133288" cy="262800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CP-01M_Lumbar spine AP_no-organs.png"/>
                    <pic:cNvPicPr/>
                  </pic:nvPicPr>
                  <pic:blipFill>
                    <a:blip r:embed="rId126" cstate="email">
                      <a:extLst>
                        <a:ext uri="{28A0092B-C50C-407E-A947-70E740481C1C}">
                          <a14:useLocalDpi xmlns:a14="http://schemas.microsoft.com/office/drawing/2010/main"/>
                        </a:ext>
                      </a:extLst>
                    </a:blip>
                    <a:stretch>
                      <a:fillRect/>
                    </a:stretch>
                  </pic:blipFill>
                  <pic:spPr>
                    <a:xfrm>
                      <a:off x="0" y="0"/>
                      <a:ext cx="1133288" cy="2628000"/>
                    </a:xfrm>
                    <a:prstGeom prst="rect">
                      <a:avLst/>
                    </a:prstGeom>
                  </pic:spPr>
                </pic:pic>
              </a:graphicData>
            </a:graphic>
          </wp:inline>
        </w:drawing>
      </w:r>
      <w:r>
        <w:rPr>
          <w:noProof/>
          <w:snapToGrid/>
          <w:lang w:val="en-US" w:eastAsia="en-US"/>
        </w:rPr>
        <w:drawing>
          <wp:inline distT="0" distB="0" distL="0" distR="0" wp14:anchorId="497930A6" wp14:editId="494C2DE4">
            <wp:extent cx="1052416" cy="2628000"/>
            <wp:effectExtent l="0" t="0" r="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RCP-01M_Lumbar spine AP.png"/>
                    <pic:cNvPicPr/>
                  </pic:nvPicPr>
                  <pic:blipFill>
                    <a:blip r:embed="rId127" cstate="email">
                      <a:extLst>
                        <a:ext uri="{28A0092B-C50C-407E-A947-70E740481C1C}">
                          <a14:useLocalDpi xmlns:a14="http://schemas.microsoft.com/office/drawing/2010/main"/>
                        </a:ext>
                      </a:extLst>
                    </a:blip>
                    <a:stretch>
                      <a:fillRect/>
                    </a:stretch>
                  </pic:blipFill>
                  <pic:spPr>
                    <a:xfrm>
                      <a:off x="0" y="0"/>
                      <a:ext cx="1052416" cy="2628000"/>
                    </a:xfrm>
                    <a:prstGeom prst="rect">
                      <a:avLst/>
                    </a:prstGeom>
                  </pic:spPr>
                </pic:pic>
              </a:graphicData>
            </a:graphic>
          </wp:inline>
        </w:drawing>
      </w:r>
    </w:p>
    <w:p w14:paraId="7F26711D" w14:textId="77777777" w:rsidR="00E72CA9" w:rsidRDefault="00D516E3">
      <w:pPr>
        <w:pStyle w:val="Annaddtxt"/>
        <w:tabs>
          <w:tab w:val="clear" w:pos="646"/>
          <w:tab w:val="left" w:pos="851"/>
        </w:tabs>
        <w:spacing w:after="120"/>
        <w:rPr>
          <w:sz w:val="20"/>
        </w:rPr>
      </w:pPr>
      <w:r>
        <w:t xml:space="preserve">                                        </w:t>
      </w:r>
      <w:r>
        <w:rPr>
          <w:sz w:val="20"/>
        </w:rPr>
        <w:t xml:space="preserve">Newborn                                                         1-year old       </w:t>
      </w:r>
    </w:p>
    <w:p w14:paraId="00CE5B40" w14:textId="77777777" w:rsidR="00E72CA9" w:rsidRDefault="00D516E3">
      <w:pPr>
        <w:pStyle w:val="Annaddtxt"/>
        <w:tabs>
          <w:tab w:val="clear" w:pos="646"/>
          <w:tab w:val="left" w:pos="851"/>
        </w:tabs>
        <w:rPr>
          <w:sz w:val="22"/>
          <w:szCs w:val="22"/>
          <w:highlight w:val="yellow"/>
        </w:rPr>
      </w:pPr>
      <w:r>
        <w:rPr>
          <w:sz w:val="22"/>
        </w:rPr>
        <w:t xml:space="preserve">Fig. B.17. Coronal images at the centre of the paediatric reference phantoms showing the anatomical landmarks for </w:t>
      </w:r>
      <w:r>
        <w:rPr>
          <w:sz w:val="22"/>
          <w:szCs w:val="22"/>
        </w:rPr>
        <w:t>lumbar spine anterior-posterior examination</w:t>
      </w:r>
      <w:r>
        <w:rPr>
          <w:sz w:val="22"/>
        </w:rPr>
        <w:t xml:space="preserve">. </w:t>
      </w:r>
      <w:r>
        <w:rPr>
          <w:sz w:val="22"/>
          <w:szCs w:val="22"/>
        </w:rPr>
        <w:t xml:space="preserve">For </w:t>
      </w:r>
      <w:r>
        <w:rPr>
          <w:bCs/>
          <w:snapToGrid/>
          <w:sz w:val="22"/>
          <w:szCs w:val="22"/>
          <w:lang w:val="en-US"/>
        </w:rPr>
        <w:t xml:space="preserve">newborn, 1-year, 5-year and 10-year old, the images for the male phantoms are shown. For 15-year old (third row), images for the male and female are shown. </w:t>
      </w:r>
      <w:r>
        <w:rPr>
          <w:sz w:val="22"/>
        </w:rPr>
        <w:t xml:space="preserve">Left to right: the first image shows only the skeletal landmarks and the second image adds the organs of interest </w:t>
      </w:r>
      <w:r>
        <w:rPr>
          <w:i/>
          <w:iCs/>
          <w:sz w:val="22"/>
        </w:rPr>
        <w:t>(continued on next page)</w:t>
      </w:r>
      <w:r>
        <w:rPr>
          <w:sz w:val="22"/>
        </w:rPr>
        <w:t>.</w:t>
      </w:r>
    </w:p>
    <w:p w14:paraId="078F6784" w14:textId="77777777" w:rsidR="00E72CA9" w:rsidRDefault="00E72CA9">
      <w:pPr>
        <w:pStyle w:val="Annaddtxt"/>
        <w:tabs>
          <w:tab w:val="clear" w:pos="646"/>
          <w:tab w:val="left" w:pos="851"/>
        </w:tabs>
      </w:pPr>
    </w:p>
    <w:p w14:paraId="2382EE73" w14:textId="77777777" w:rsidR="00E72CA9" w:rsidRDefault="00D516E3">
      <w:pPr>
        <w:pStyle w:val="Annaddtxt"/>
        <w:tabs>
          <w:tab w:val="clear" w:pos="646"/>
          <w:tab w:val="left" w:pos="851"/>
        </w:tabs>
        <w:jc w:val="center"/>
      </w:pPr>
      <w:r>
        <w:rPr>
          <w:noProof/>
          <w:snapToGrid/>
          <w:lang w:val="en-US" w:eastAsia="en-US"/>
        </w:rPr>
        <w:lastRenderedPageBreak/>
        <w:drawing>
          <wp:inline distT="0" distB="0" distL="0" distR="0" wp14:anchorId="0A8958A7" wp14:editId="521AA375">
            <wp:extent cx="1165643" cy="2628000"/>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CP-05M_Lumbar spine AP_no-organs.png"/>
                    <pic:cNvPicPr/>
                  </pic:nvPicPr>
                  <pic:blipFill>
                    <a:blip r:embed="rId128" cstate="email">
                      <a:extLst>
                        <a:ext uri="{28A0092B-C50C-407E-A947-70E740481C1C}">
                          <a14:useLocalDpi xmlns:a14="http://schemas.microsoft.com/office/drawing/2010/main"/>
                        </a:ext>
                      </a:extLst>
                    </a:blip>
                    <a:stretch>
                      <a:fillRect/>
                    </a:stretch>
                  </pic:blipFill>
                  <pic:spPr>
                    <a:xfrm>
                      <a:off x="0" y="0"/>
                      <a:ext cx="1165643" cy="2628000"/>
                    </a:xfrm>
                    <a:prstGeom prst="rect">
                      <a:avLst/>
                    </a:prstGeom>
                  </pic:spPr>
                </pic:pic>
              </a:graphicData>
            </a:graphic>
          </wp:inline>
        </w:drawing>
      </w:r>
      <w:r>
        <w:rPr>
          <w:noProof/>
          <w:snapToGrid/>
          <w:lang w:val="en-US" w:eastAsia="en-US"/>
        </w:rPr>
        <w:drawing>
          <wp:inline distT="0" distB="0" distL="0" distR="0" wp14:anchorId="62FDA076" wp14:editId="3701AA5B">
            <wp:extent cx="1197029" cy="2628000"/>
            <wp:effectExtent l="0" t="0" r="3175" b="12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RCP-05M_Lumbar spine AP.png"/>
                    <pic:cNvPicPr/>
                  </pic:nvPicPr>
                  <pic:blipFill>
                    <a:blip r:embed="rId129" cstate="email">
                      <a:extLst>
                        <a:ext uri="{28A0092B-C50C-407E-A947-70E740481C1C}">
                          <a14:useLocalDpi xmlns:a14="http://schemas.microsoft.com/office/drawing/2010/main"/>
                        </a:ext>
                      </a:extLst>
                    </a:blip>
                    <a:stretch>
                      <a:fillRect/>
                    </a:stretch>
                  </pic:blipFill>
                  <pic:spPr>
                    <a:xfrm>
                      <a:off x="0" y="0"/>
                      <a:ext cx="1197029" cy="2628000"/>
                    </a:xfrm>
                    <a:prstGeom prst="rect">
                      <a:avLst/>
                    </a:prstGeom>
                  </pic:spPr>
                </pic:pic>
              </a:graphicData>
            </a:graphic>
          </wp:inline>
        </w:drawing>
      </w:r>
      <w:r>
        <w:rPr>
          <w:noProof/>
          <w:snapToGrid/>
          <w:lang w:val="en-US" w:eastAsia="en-US"/>
        </w:rPr>
        <w:drawing>
          <wp:inline distT="0" distB="0" distL="0" distR="0" wp14:anchorId="55F13694" wp14:editId="21C7BD95">
            <wp:extent cx="1299882" cy="2700000"/>
            <wp:effectExtent l="0" t="0" r="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RCP-10M_Lumbar spine AP_no-organs.png"/>
                    <pic:cNvPicPr/>
                  </pic:nvPicPr>
                  <pic:blipFill>
                    <a:blip r:embed="rId130" cstate="email">
                      <a:extLst>
                        <a:ext uri="{28A0092B-C50C-407E-A947-70E740481C1C}">
                          <a14:useLocalDpi xmlns:a14="http://schemas.microsoft.com/office/drawing/2010/main"/>
                        </a:ext>
                      </a:extLst>
                    </a:blip>
                    <a:stretch>
                      <a:fillRect/>
                    </a:stretch>
                  </pic:blipFill>
                  <pic:spPr>
                    <a:xfrm>
                      <a:off x="0" y="0"/>
                      <a:ext cx="1299882" cy="2700000"/>
                    </a:xfrm>
                    <a:prstGeom prst="rect">
                      <a:avLst/>
                    </a:prstGeom>
                  </pic:spPr>
                </pic:pic>
              </a:graphicData>
            </a:graphic>
          </wp:inline>
        </w:drawing>
      </w:r>
      <w:r>
        <w:rPr>
          <w:noProof/>
          <w:snapToGrid/>
          <w:lang w:val="en-US" w:eastAsia="en-US"/>
        </w:rPr>
        <w:drawing>
          <wp:inline distT="0" distB="0" distL="0" distR="0" wp14:anchorId="06C0D39A" wp14:editId="2E825F96">
            <wp:extent cx="1299882" cy="2700000"/>
            <wp:effectExtent l="0" t="0" r="0" b="571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RCP-10M_Lumbar spine AP.png"/>
                    <pic:cNvPicPr/>
                  </pic:nvPicPr>
                  <pic:blipFill>
                    <a:blip r:embed="rId131" cstate="email">
                      <a:extLst>
                        <a:ext uri="{28A0092B-C50C-407E-A947-70E740481C1C}">
                          <a14:useLocalDpi xmlns:a14="http://schemas.microsoft.com/office/drawing/2010/main"/>
                        </a:ext>
                      </a:extLst>
                    </a:blip>
                    <a:stretch>
                      <a:fillRect/>
                    </a:stretch>
                  </pic:blipFill>
                  <pic:spPr>
                    <a:xfrm>
                      <a:off x="0" y="0"/>
                      <a:ext cx="1299882" cy="2700000"/>
                    </a:xfrm>
                    <a:prstGeom prst="rect">
                      <a:avLst/>
                    </a:prstGeom>
                  </pic:spPr>
                </pic:pic>
              </a:graphicData>
            </a:graphic>
          </wp:inline>
        </w:drawing>
      </w:r>
    </w:p>
    <w:p w14:paraId="7102794B" w14:textId="77777777" w:rsidR="00E72CA9" w:rsidRDefault="00D516E3">
      <w:pPr>
        <w:pStyle w:val="Annaddtxt"/>
        <w:tabs>
          <w:tab w:val="clear" w:pos="646"/>
          <w:tab w:val="left" w:pos="851"/>
        </w:tabs>
        <w:rPr>
          <w:sz w:val="20"/>
        </w:rPr>
      </w:pPr>
      <w:r>
        <w:t xml:space="preserve">                                  </w:t>
      </w:r>
      <w:r>
        <w:rPr>
          <w:sz w:val="20"/>
        </w:rPr>
        <w:t>5-year old                                                             10-year old</w:t>
      </w:r>
    </w:p>
    <w:p w14:paraId="06F42DB2"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5A99D083" wp14:editId="59E11551">
            <wp:extent cx="1294503" cy="2592000"/>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RCP-15M_Lumbar spine AP_no-organs.png"/>
                    <pic:cNvPicPr/>
                  </pic:nvPicPr>
                  <pic:blipFill>
                    <a:blip r:embed="rId132" cstate="email">
                      <a:extLst>
                        <a:ext uri="{28A0092B-C50C-407E-A947-70E740481C1C}">
                          <a14:useLocalDpi xmlns:a14="http://schemas.microsoft.com/office/drawing/2010/main"/>
                        </a:ext>
                      </a:extLst>
                    </a:blip>
                    <a:stretch>
                      <a:fillRect/>
                    </a:stretch>
                  </pic:blipFill>
                  <pic:spPr>
                    <a:xfrm>
                      <a:off x="0" y="0"/>
                      <a:ext cx="1294503" cy="2592000"/>
                    </a:xfrm>
                    <a:prstGeom prst="rect">
                      <a:avLst/>
                    </a:prstGeom>
                  </pic:spPr>
                </pic:pic>
              </a:graphicData>
            </a:graphic>
          </wp:inline>
        </w:drawing>
      </w:r>
      <w:r>
        <w:rPr>
          <w:noProof/>
          <w:snapToGrid/>
          <w:lang w:val="en-US" w:eastAsia="en-US"/>
        </w:rPr>
        <w:drawing>
          <wp:inline distT="0" distB="0" distL="0" distR="0" wp14:anchorId="2AFBBB90" wp14:editId="165755D0">
            <wp:extent cx="1188703" cy="2556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RCP-15M_Lumbar spine AP.png"/>
                    <pic:cNvPicPr/>
                  </pic:nvPicPr>
                  <pic:blipFill>
                    <a:blip r:embed="rId133" cstate="email">
                      <a:extLst>
                        <a:ext uri="{28A0092B-C50C-407E-A947-70E740481C1C}">
                          <a14:useLocalDpi xmlns:a14="http://schemas.microsoft.com/office/drawing/2010/main"/>
                        </a:ext>
                      </a:extLst>
                    </a:blip>
                    <a:stretch>
                      <a:fillRect/>
                    </a:stretch>
                  </pic:blipFill>
                  <pic:spPr>
                    <a:xfrm>
                      <a:off x="0" y="0"/>
                      <a:ext cx="1188703" cy="2556000"/>
                    </a:xfrm>
                    <a:prstGeom prst="rect">
                      <a:avLst/>
                    </a:prstGeom>
                  </pic:spPr>
                </pic:pic>
              </a:graphicData>
            </a:graphic>
          </wp:inline>
        </w:drawing>
      </w:r>
      <w:r>
        <w:rPr>
          <w:noProof/>
          <w:snapToGrid/>
          <w:lang w:val="en-US" w:eastAsia="en-US"/>
        </w:rPr>
        <w:drawing>
          <wp:inline distT="0" distB="0" distL="0" distR="0" wp14:anchorId="2F83BF84" wp14:editId="6C56F235">
            <wp:extent cx="1218000" cy="2628000"/>
            <wp:effectExtent l="0" t="0" r="127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RCP-15F_Lumbar spine AP_no-organs.png"/>
                    <pic:cNvPicPr/>
                  </pic:nvPicPr>
                  <pic:blipFill>
                    <a:blip r:embed="rId134" cstate="email">
                      <a:extLst>
                        <a:ext uri="{28A0092B-C50C-407E-A947-70E740481C1C}">
                          <a14:useLocalDpi xmlns:a14="http://schemas.microsoft.com/office/drawing/2010/main"/>
                        </a:ext>
                      </a:extLst>
                    </a:blip>
                    <a:stretch>
                      <a:fillRect/>
                    </a:stretch>
                  </pic:blipFill>
                  <pic:spPr>
                    <a:xfrm>
                      <a:off x="0" y="0"/>
                      <a:ext cx="1218000" cy="2628000"/>
                    </a:xfrm>
                    <a:prstGeom prst="rect">
                      <a:avLst/>
                    </a:prstGeom>
                  </pic:spPr>
                </pic:pic>
              </a:graphicData>
            </a:graphic>
          </wp:inline>
        </w:drawing>
      </w:r>
      <w:r>
        <w:rPr>
          <w:noProof/>
          <w:snapToGrid/>
          <w:lang w:val="en-US" w:eastAsia="en-US"/>
        </w:rPr>
        <w:drawing>
          <wp:inline distT="0" distB="0" distL="0" distR="0" wp14:anchorId="5E96D17D" wp14:editId="5AEF9A86">
            <wp:extent cx="1281104" cy="2592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RCP-15F_Lumbar spine AP.png"/>
                    <pic:cNvPicPr/>
                  </pic:nvPicPr>
                  <pic:blipFill>
                    <a:blip r:embed="rId135" cstate="email">
                      <a:extLst>
                        <a:ext uri="{28A0092B-C50C-407E-A947-70E740481C1C}">
                          <a14:useLocalDpi xmlns:a14="http://schemas.microsoft.com/office/drawing/2010/main"/>
                        </a:ext>
                      </a:extLst>
                    </a:blip>
                    <a:stretch>
                      <a:fillRect/>
                    </a:stretch>
                  </pic:blipFill>
                  <pic:spPr>
                    <a:xfrm>
                      <a:off x="0" y="0"/>
                      <a:ext cx="1281104" cy="2592000"/>
                    </a:xfrm>
                    <a:prstGeom prst="rect">
                      <a:avLst/>
                    </a:prstGeom>
                  </pic:spPr>
                </pic:pic>
              </a:graphicData>
            </a:graphic>
          </wp:inline>
        </w:drawing>
      </w:r>
    </w:p>
    <w:p w14:paraId="6089AFB2" w14:textId="77777777" w:rsidR="00E72CA9" w:rsidRDefault="00D516E3">
      <w:pPr>
        <w:pStyle w:val="Annaddtxt"/>
        <w:tabs>
          <w:tab w:val="clear" w:pos="646"/>
          <w:tab w:val="left" w:pos="851"/>
        </w:tabs>
        <w:rPr>
          <w:sz w:val="20"/>
        </w:rPr>
      </w:pPr>
      <w:r>
        <w:rPr>
          <w:sz w:val="20"/>
        </w:rPr>
        <w:t xml:space="preserve">                                         15-year male                                                      15-year female</w:t>
      </w:r>
    </w:p>
    <w:p w14:paraId="1D263C0C" w14:textId="77777777" w:rsidR="00E72CA9" w:rsidRDefault="00D516E3">
      <w:pPr>
        <w:pStyle w:val="Annaddtxt"/>
        <w:tabs>
          <w:tab w:val="clear" w:pos="646"/>
          <w:tab w:val="left" w:pos="851"/>
        </w:tabs>
        <w:spacing w:before="120"/>
        <w:rPr>
          <w:i/>
          <w:iCs/>
          <w:sz w:val="22"/>
        </w:rPr>
      </w:pPr>
      <w:r>
        <w:rPr>
          <w:sz w:val="22"/>
        </w:rPr>
        <w:t xml:space="preserve">Fig. B.17. </w:t>
      </w:r>
      <w:r>
        <w:rPr>
          <w:i/>
          <w:iCs/>
          <w:sz w:val="22"/>
        </w:rPr>
        <w:t>(Continued)</w:t>
      </w:r>
      <w:r>
        <w:rPr>
          <w:i/>
          <w:iCs/>
          <w:sz w:val="22"/>
        </w:rPr>
        <w:br w:type="page"/>
      </w:r>
    </w:p>
    <w:p w14:paraId="5EDA5FEA" w14:textId="77777777" w:rsidR="00E72CA9" w:rsidRDefault="00D516E3">
      <w:pPr>
        <w:pStyle w:val="ICRPannexheading3"/>
        <w:ind w:hanging="1146"/>
      </w:pPr>
      <w:r>
        <w:lastRenderedPageBreak/>
        <w:t>Lumbar spine lateral (Lat)</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38F5DD32" w14:textId="77777777">
        <w:tc>
          <w:tcPr>
            <w:tcW w:w="3330" w:type="dxa"/>
            <w:shd w:val="clear" w:color="auto" w:fill="auto"/>
          </w:tcPr>
          <w:p w14:paraId="7A9E7FC0"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2D97F099" w14:textId="77777777" w:rsidR="00E72CA9" w:rsidRDefault="00D516E3">
            <w:pPr>
              <w:pStyle w:val="Annalstext"/>
              <w:tabs>
                <w:tab w:val="clear" w:pos="502"/>
              </w:tabs>
              <w:ind w:left="0" w:firstLine="0"/>
              <w:rPr>
                <w:bCs/>
                <w:snapToGrid/>
                <w:sz w:val="20"/>
                <w:lang w:val="en-US"/>
              </w:rPr>
            </w:pPr>
            <w:r>
              <w:rPr>
                <w:bCs/>
                <w:snapToGrid/>
                <w:sz w:val="20"/>
                <w:lang w:val="en-US"/>
              </w:rPr>
              <w:t>From T11 or ca. mid T10 down to half sacrum (above coccyx)</w:t>
            </w:r>
          </w:p>
        </w:tc>
      </w:tr>
      <w:tr w:rsidR="00E72CA9" w14:paraId="17F5C9BE" w14:textId="77777777">
        <w:tc>
          <w:tcPr>
            <w:tcW w:w="3330" w:type="dxa"/>
            <w:shd w:val="clear" w:color="auto" w:fill="auto"/>
          </w:tcPr>
          <w:p w14:paraId="4B33A92B"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17EDC6F1" w14:textId="77777777" w:rsidR="00E72CA9" w:rsidRDefault="00D516E3">
            <w:pPr>
              <w:pStyle w:val="Annalstext"/>
              <w:tabs>
                <w:tab w:val="clear" w:pos="502"/>
              </w:tabs>
              <w:ind w:left="0" w:firstLine="0"/>
              <w:rPr>
                <w:bCs/>
                <w:snapToGrid/>
                <w:sz w:val="20"/>
                <w:lang w:val="en-US"/>
              </w:rPr>
            </w:pPr>
            <w:r>
              <w:rPr>
                <w:bCs/>
                <w:snapToGrid/>
                <w:sz w:val="20"/>
                <w:lang w:val="en-US"/>
              </w:rPr>
              <w:t>Should extend approx. 2 cm beyond the bone on either side</w:t>
            </w:r>
          </w:p>
        </w:tc>
      </w:tr>
      <w:tr w:rsidR="00E72CA9" w14:paraId="5009622E" w14:textId="77777777">
        <w:tc>
          <w:tcPr>
            <w:tcW w:w="3330" w:type="dxa"/>
            <w:shd w:val="clear" w:color="auto" w:fill="auto"/>
          </w:tcPr>
          <w:p w14:paraId="4B494EB9"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565DDABC" w14:textId="77777777" w:rsidR="00E72CA9" w:rsidRDefault="00D516E3">
            <w:pPr>
              <w:pStyle w:val="Annalstext"/>
              <w:tabs>
                <w:tab w:val="clear" w:pos="502"/>
              </w:tabs>
              <w:ind w:left="0" w:firstLine="0"/>
              <w:rPr>
                <w:bCs/>
                <w:snapToGrid/>
                <w:sz w:val="20"/>
                <w:lang w:val="en-US"/>
              </w:rPr>
            </w:pPr>
            <w:r>
              <w:rPr>
                <w:bCs/>
                <w:snapToGrid/>
                <w:sz w:val="20"/>
                <w:lang w:val="en-US"/>
              </w:rPr>
              <w:t>100 cm for newborn and 1-year old</w:t>
            </w:r>
          </w:p>
          <w:p w14:paraId="699D3BBB" w14:textId="77777777" w:rsidR="00E72CA9" w:rsidRDefault="00D516E3">
            <w:pPr>
              <w:pStyle w:val="Annalstext"/>
              <w:tabs>
                <w:tab w:val="clear" w:pos="502"/>
              </w:tabs>
              <w:ind w:left="0" w:firstLine="0"/>
              <w:rPr>
                <w:bCs/>
                <w:snapToGrid/>
                <w:sz w:val="20"/>
                <w:lang w:val="en-US"/>
              </w:rPr>
            </w:pPr>
            <w:r>
              <w:rPr>
                <w:bCs/>
                <w:snapToGrid/>
                <w:sz w:val="20"/>
                <w:lang w:val="en-US"/>
              </w:rPr>
              <w:t>110 cm for 5-year, 10-year and 15-year old</w:t>
            </w:r>
          </w:p>
        </w:tc>
      </w:tr>
      <w:tr w:rsidR="00E72CA9" w14:paraId="374D99FC" w14:textId="77777777">
        <w:tc>
          <w:tcPr>
            <w:tcW w:w="3330" w:type="dxa"/>
            <w:shd w:val="clear" w:color="auto" w:fill="auto"/>
          </w:tcPr>
          <w:p w14:paraId="1308521C"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4142B604" w14:textId="77777777" w:rsidR="00E72CA9" w:rsidRDefault="00D516E3">
            <w:pPr>
              <w:pStyle w:val="Annalstext"/>
              <w:tabs>
                <w:tab w:val="clear" w:pos="502"/>
              </w:tabs>
              <w:ind w:left="0" w:firstLine="0"/>
              <w:rPr>
                <w:bCs/>
                <w:snapToGrid/>
                <w:sz w:val="20"/>
                <w:lang w:val="en-US"/>
              </w:rPr>
            </w:pPr>
            <w:r>
              <w:rPr>
                <w:bCs/>
                <w:snapToGrid/>
                <w:sz w:val="20"/>
                <w:lang w:val="en-US"/>
              </w:rPr>
              <w:t xml:space="preserve">10 cm (grid) for all ages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tc>
      </w:tr>
    </w:tbl>
    <w:p w14:paraId="37192CEB" w14:textId="77777777" w:rsidR="00E72CA9" w:rsidRDefault="00D516E3">
      <w:pPr>
        <w:pStyle w:val="Annaddtxt"/>
        <w:tabs>
          <w:tab w:val="clear" w:pos="646"/>
          <w:tab w:val="left" w:pos="851"/>
        </w:tabs>
        <w:spacing w:before="120"/>
      </w:pPr>
      <w:r>
        <w:rPr>
          <w:noProof/>
          <w:snapToGrid/>
          <w:lang w:val="en-US" w:eastAsia="en-US"/>
        </w:rPr>
        <w:drawing>
          <wp:inline distT="0" distB="0" distL="0" distR="0" wp14:anchorId="3507F905" wp14:editId="0DE915B4">
            <wp:extent cx="1064316" cy="2700000"/>
            <wp:effectExtent l="0" t="0" r="254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CP-00M_Lumbar spine LAT_no-organs.png"/>
                    <pic:cNvPicPr/>
                  </pic:nvPicPr>
                  <pic:blipFill>
                    <a:blip r:embed="rId136" cstate="email">
                      <a:extLst>
                        <a:ext uri="{28A0092B-C50C-407E-A947-70E740481C1C}">
                          <a14:useLocalDpi xmlns:a14="http://schemas.microsoft.com/office/drawing/2010/main"/>
                        </a:ext>
                      </a:extLst>
                    </a:blip>
                    <a:stretch>
                      <a:fillRect/>
                    </a:stretch>
                  </pic:blipFill>
                  <pic:spPr>
                    <a:xfrm>
                      <a:off x="0" y="0"/>
                      <a:ext cx="1064316" cy="2700000"/>
                    </a:xfrm>
                    <a:prstGeom prst="rect">
                      <a:avLst/>
                    </a:prstGeom>
                  </pic:spPr>
                </pic:pic>
              </a:graphicData>
            </a:graphic>
          </wp:inline>
        </w:drawing>
      </w:r>
      <w:r>
        <w:rPr>
          <w:noProof/>
          <w:snapToGrid/>
          <w:lang w:val="en-US" w:eastAsia="en-US"/>
        </w:rPr>
        <w:drawing>
          <wp:inline distT="0" distB="0" distL="0" distR="0" wp14:anchorId="41F2488C" wp14:editId="06D5F882">
            <wp:extent cx="1047818" cy="2700000"/>
            <wp:effectExtent l="0" t="0" r="0" b="571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RCP-00M_Lumbar spine LAT.png"/>
                    <pic:cNvPicPr/>
                  </pic:nvPicPr>
                  <pic:blipFill>
                    <a:blip r:embed="rId137" cstate="email">
                      <a:extLst>
                        <a:ext uri="{28A0092B-C50C-407E-A947-70E740481C1C}">
                          <a14:useLocalDpi xmlns:a14="http://schemas.microsoft.com/office/drawing/2010/main"/>
                        </a:ext>
                      </a:extLst>
                    </a:blip>
                    <a:stretch>
                      <a:fillRect/>
                    </a:stretch>
                  </pic:blipFill>
                  <pic:spPr>
                    <a:xfrm>
                      <a:off x="0" y="0"/>
                      <a:ext cx="1047818" cy="2700000"/>
                    </a:xfrm>
                    <a:prstGeom prst="rect">
                      <a:avLst/>
                    </a:prstGeom>
                  </pic:spPr>
                </pic:pic>
              </a:graphicData>
            </a:graphic>
          </wp:inline>
        </w:drawing>
      </w:r>
      <w:r>
        <w:t xml:space="preserve">  </w:t>
      </w:r>
      <w:r>
        <w:rPr>
          <w:noProof/>
          <w:snapToGrid/>
          <w:lang w:val="en-US" w:eastAsia="en-US"/>
        </w:rPr>
        <w:drawing>
          <wp:inline distT="0" distB="0" distL="0" distR="0" wp14:anchorId="59AB37F1" wp14:editId="188DF28B">
            <wp:extent cx="872608" cy="2700000"/>
            <wp:effectExtent l="0" t="0" r="381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CP-01M_Lumbar spine LAT_no-organs.png"/>
                    <pic:cNvPicPr/>
                  </pic:nvPicPr>
                  <pic:blipFill>
                    <a:blip r:embed="rId138" cstate="email">
                      <a:extLst>
                        <a:ext uri="{28A0092B-C50C-407E-A947-70E740481C1C}">
                          <a14:useLocalDpi xmlns:a14="http://schemas.microsoft.com/office/drawing/2010/main"/>
                        </a:ext>
                      </a:extLst>
                    </a:blip>
                    <a:stretch>
                      <a:fillRect/>
                    </a:stretch>
                  </pic:blipFill>
                  <pic:spPr>
                    <a:xfrm>
                      <a:off x="0" y="0"/>
                      <a:ext cx="872608" cy="2700000"/>
                    </a:xfrm>
                    <a:prstGeom prst="rect">
                      <a:avLst/>
                    </a:prstGeom>
                  </pic:spPr>
                </pic:pic>
              </a:graphicData>
            </a:graphic>
          </wp:inline>
        </w:drawing>
      </w:r>
      <w:r>
        <w:rPr>
          <w:noProof/>
          <w:snapToGrid/>
          <w:lang w:val="en-US" w:eastAsia="en-US"/>
        </w:rPr>
        <w:drawing>
          <wp:inline distT="0" distB="0" distL="0" distR="0" wp14:anchorId="189E77BE" wp14:editId="1264852D">
            <wp:extent cx="843277" cy="2700000"/>
            <wp:effectExtent l="0" t="0" r="0" b="571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RCP-01M_Lumbar spine LAT.png"/>
                    <pic:cNvPicPr/>
                  </pic:nvPicPr>
                  <pic:blipFill>
                    <a:blip r:embed="rId139" cstate="email">
                      <a:extLst>
                        <a:ext uri="{28A0092B-C50C-407E-A947-70E740481C1C}">
                          <a14:useLocalDpi xmlns:a14="http://schemas.microsoft.com/office/drawing/2010/main"/>
                        </a:ext>
                      </a:extLst>
                    </a:blip>
                    <a:stretch>
                      <a:fillRect/>
                    </a:stretch>
                  </pic:blipFill>
                  <pic:spPr>
                    <a:xfrm>
                      <a:off x="0" y="0"/>
                      <a:ext cx="843277" cy="2700000"/>
                    </a:xfrm>
                    <a:prstGeom prst="rect">
                      <a:avLst/>
                    </a:prstGeom>
                  </pic:spPr>
                </pic:pic>
              </a:graphicData>
            </a:graphic>
          </wp:inline>
        </w:drawing>
      </w:r>
      <w:r>
        <w:t xml:space="preserve">     </w:t>
      </w:r>
      <w:r>
        <w:rPr>
          <w:noProof/>
          <w:snapToGrid/>
          <w:lang w:val="en-US" w:eastAsia="en-US"/>
        </w:rPr>
        <w:drawing>
          <wp:inline distT="0" distB="0" distL="0" distR="0" wp14:anchorId="3555B7F6" wp14:editId="347F1D14">
            <wp:extent cx="758984" cy="2700000"/>
            <wp:effectExtent l="0" t="0" r="3175"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CP-05M_Lumbar spine LAT_no-organs.png"/>
                    <pic:cNvPicPr/>
                  </pic:nvPicPr>
                  <pic:blipFill>
                    <a:blip r:embed="rId140" cstate="email">
                      <a:extLst>
                        <a:ext uri="{28A0092B-C50C-407E-A947-70E740481C1C}">
                          <a14:useLocalDpi xmlns:a14="http://schemas.microsoft.com/office/drawing/2010/main"/>
                        </a:ext>
                      </a:extLst>
                    </a:blip>
                    <a:stretch>
                      <a:fillRect/>
                    </a:stretch>
                  </pic:blipFill>
                  <pic:spPr>
                    <a:xfrm>
                      <a:off x="0" y="0"/>
                      <a:ext cx="758984" cy="2700000"/>
                    </a:xfrm>
                    <a:prstGeom prst="rect">
                      <a:avLst/>
                    </a:prstGeom>
                  </pic:spPr>
                </pic:pic>
              </a:graphicData>
            </a:graphic>
          </wp:inline>
        </w:drawing>
      </w:r>
      <w:r>
        <w:rPr>
          <w:noProof/>
          <w:snapToGrid/>
          <w:lang w:val="en-US" w:eastAsia="en-US"/>
        </w:rPr>
        <w:drawing>
          <wp:inline distT="0" distB="0" distL="0" distR="0" wp14:anchorId="0B8B5166" wp14:editId="7ABE7451">
            <wp:extent cx="768320" cy="2700000"/>
            <wp:effectExtent l="0" t="0" r="0" b="571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RCP-05M_Lumbar spine LAT.png"/>
                    <pic:cNvPicPr/>
                  </pic:nvPicPr>
                  <pic:blipFill>
                    <a:blip r:embed="rId141" cstate="email">
                      <a:extLst>
                        <a:ext uri="{28A0092B-C50C-407E-A947-70E740481C1C}">
                          <a14:useLocalDpi xmlns:a14="http://schemas.microsoft.com/office/drawing/2010/main"/>
                        </a:ext>
                      </a:extLst>
                    </a:blip>
                    <a:stretch>
                      <a:fillRect/>
                    </a:stretch>
                  </pic:blipFill>
                  <pic:spPr>
                    <a:xfrm>
                      <a:off x="0" y="0"/>
                      <a:ext cx="768320" cy="2700000"/>
                    </a:xfrm>
                    <a:prstGeom prst="rect">
                      <a:avLst/>
                    </a:prstGeom>
                  </pic:spPr>
                </pic:pic>
              </a:graphicData>
            </a:graphic>
          </wp:inline>
        </w:drawing>
      </w:r>
    </w:p>
    <w:p w14:paraId="5BDCFB13" w14:textId="77777777" w:rsidR="00E72CA9" w:rsidRDefault="00D516E3">
      <w:pPr>
        <w:pStyle w:val="Annaddtxt"/>
        <w:tabs>
          <w:tab w:val="clear" w:pos="646"/>
          <w:tab w:val="left" w:pos="851"/>
        </w:tabs>
        <w:rPr>
          <w:sz w:val="20"/>
        </w:rPr>
      </w:pPr>
      <w:r>
        <w:t xml:space="preserve">                   </w:t>
      </w:r>
      <w:r>
        <w:rPr>
          <w:sz w:val="20"/>
        </w:rPr>
        <w:t>Newborn                                                    1-year old                                         5-year old</w:t>
      </w:r>
    </w:p>
    <w:p w14:paraId="47990196" w14:textId="77777777" w:rsidR="00E72CA9" w:rsidRDefault="00D516E3">
      <w:pPr>
        <w:pStyle w:val="Annaddtxt"/>
        <w:tabs>
          <w:tab w:val="clear" w:pos="646"/>
          <w:tab w:val="left" w:pos="851"/>
        </w:tabs>
        <w:spacing w:before="240"/>
      </w:pPr>
      <w:r>
        <w:rPr>
          <w:noProof/>
          <w:snapToGrid/>
          <w:lang w:val="en-US" w:eastAsia="en-US"/>
        </w:rPr>
        <w:drawing>
          <wp:inline distT="0" distB="0" distL="0" distR="0" wp14:anchorId="77814574" wp14:editId="35526110">
            <wp:extent cx="968276" cy="2700000"/>
            <wp:effectExtent l="0" t="0" r="381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RCP-10M_Lumbar spine LAT_no-organs.png"/>
                    <pic:cNvPicPr/>
                  </pic:nvPicPr>
                  <pic:blipFill>
                    <a:blip r:embed="rId142" cstate="email">
                      <a:extLst>
                        <a:ext uri="{28A0092B-C50C-407E-A947-70E740481C1C}">
                          <a14:useLocalDpi xmlns:a14="http://schemas.microsoft.com/office/drawing/2010/main"/>
                        </a:ext>
                      </a:extLst>
                    </a:blip>
                    <a:stretch>
                      <a:fillRect/>
                    </a:stretch>
                  </pic:blipFill>
                  <pic:spPr>
                    <a:xfrm>
                      <a:off x="0" y="0"/>
                      <a:ext cx="968276" cy="2700000"/>
                    </a:xfrm>
                    <a:prstGeom prst="rect">
                      <a:avLst/>
                    </a:prstGeom>
                  </pic:spPr>
                </pic:pic>
              </a:graphicData>
            </a:graphic>
          </wp:inline>
        </w:drawing>
      </w:r>
      <w:r>
        <w:rPr>
          <w:noProof/>
          <w:snapToGrid/>
          <w:lang w:val="en-US" w:eastAsia="en-US"/>
        </w:rPr>
        <w:drawing>
          <wp:inline distT="0" distB="0" distL="0" distR="0" wp14:anchorId="34626846" wp14:editId="3E470784">
            <wp:extent cx="841034" cy="2700000"/>
            <wp:effectExtent l="0" t="0" r="0"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RCP-10M_Lumbar spine LAT.png"/>
                    <pic:cNvPicPr/>
                  </pic:nvPicPr>
                  <pic:blipFill>
                    <a:blip r:embed="rId143" cstate="email">
                      <a:extLst>
                        <a:ext uri="{28A0092B-C50C-407E-A947-70E740481C1C}">
                          <a14:useLocalDpi xmlns:a14="http://schemas.microsoft.com/office/drawing/2010/main"/>
                        </a:ext>
                      </a:extLst>
                    </a:blip>
                    <a:stretch>
                      <a:fillRect/>
                    </a:stretch>
                  </pic:blipFill>
                  <pic:spPr>
                    <a:xfrm>
                      <a:off x="0" y="0"/>
                      <a:ext cx="841034" cy="2700000"/>
                    </a:xfrm>
                    <a:prstGeom prst="rect">
                      <a:avLst/>
                    </a:prstGeom>
                  </pic:spPr>
                </pic:pic>
              </a:graphicData>
            </a:graphic>
          </wp:inline>
        </w:drawing>
      </w:r>
      <w:r>
        <w:t xml:space="preserve">          </w:t>
      </w:r>
      <w:r>
        <w:rPr>
          <w:noProof/>
          <w:snapToGrid/>
          <w:lang w:val="en-US" w:eastAsia="en-US"/>
        </w:rPr>
        <w:drawing>
          <wp:inline distT="0" distB="0" distL="0" distR="0" wp14:anchorId="45F834BC" wp14:editId="5E0BEBB5">
            <wp:extent cx="838145" cy="2700000"/>
            <wp:effectExtent l="0" t="0" r="635"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RCP-15M_Lumbar spine LAT_no-organs.png"/>
                    <pic:cNvPicPr/>
                  </pic:nvPicPr>
                  <pic:blipFill>
                    <a:blip r:embed="rId144" cstate="email">
                      <a:extLst>
                        <a:ext uri="{28A0092B-C50C-407E-A947-70E740481C1C}">
                          <a14:useLocalDpi xmlns:a14="http://schemas.microsoft.com/office/drawing/2010/main"/>
                        </a:ext>
                      </a:extLst>
                    </a:blip>
                    <a:stretch>
                      <a:fillRect/>
                    </a:stretch>
                  </pic:blipFill>
                  <pic:spPr>
                    <a:xfrm>
                      <a:off x="0" y="0"/>
                      <a:ext cx="838145" cy="2700000"/>
                    </a:xfrm>
                    <a:prstGeom prst="rect">
                      <a:avLst/>
                    </a:prstGeom>
                  </pic:spPr>
                </pic:pic>
              </a:graphicData>
            </a:graphic>
          </wp:inline>
        </w:drawing>
      </w:r>
      <w:r>
        <w:rPr>
          <w:noProof/>
          <w:snapToGrid/>
          <w:lang w:val="en-US" w:eastAsia="en-US"/>
        </w:rPr>
        <w:drawing>
          <wp:inline distT="0" distB="0" distL="0" distR="0" wp14:anchorId="0A5E6FAD" wp14:editId="63EEE90E">
            <wp:extent cx="839862" cy="2700000"/>
            <wp:effectExtent l="0" t="0" r="0" b="571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RCP-15M_Lumbar spine LAT.png"/>
                    <pic:cNvPicPr/>
                  </pic:nvPicPr>
                  <pic:blipFill>
                    <a:blip r:embed="rId145" cstate="email">
                      <a:extLst>
                        <a:ext uri="{28A0092B-C50C-407E-A947-70E740481C1C}">
                          <a14:useLocalDpi xmlns:a14="http://schemas.microsoft.com/office/drawing/2010/main"/>
                        </a:ext>
                      </a:extLst>
                    </a:blip>
                    <a:stretch>
                      <a:fillRect/>
                    </a:stretch>
                  </pic:blipFill>
                  <pic:spPr>
                    <a:xfrm>
                      <a:off x="0" y="0"/>
                      <a:ext cx="839862" cy="2700000"/>
                    </a:xfrm>
                    <a:prstGeom prst="rect">
                      <a:avLst/>
                    </a:prstGeom>
                  </pic:spPr>
                </pic:pic>
              </a:graphicData>
            </a:graphic>
          </wp:inline>
        </w:drawing>
      </w:r>
      <w:r>
        <w:t xml:space="preserve">          </w:t>
      </w:r>
      <w:r>
        <w:rPr>
          <w:noProof/>
          <w:snapToGrid/>
          <w:lang w:val="en-US" w:eastAsia="en-US"/>
        </w:rPr>
        <w:drawing>
          <wp:inline distT="0" distB="0" distL="0" distR="0" wp14:anchorId="5F6FBA8A" wp14:editId="5C543505">
            <wp:extent cx="759863" cy="2700000"/>
            <wp:effectExtent l="0" t="0" r="254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RCP-15F_Lumbar spine LAT_no-organs.png"/>
                    <pic:cNvPicPr/>
                  </pic:nvPicPr>
                  <pic:blipFill>
                    <a:blip r:embed="rId146" cstate="email">
                      <a:extLst>
                        <a:ext uri="{28A0092B-C50C-407E-A947-70E740481C1C}">
                          <a14:useLocalDpi xmlns:a14="http://schemas.microsoft.com/office/drawing/2010/main"/>
                        </a:ext>
                      </a:extLst>
                    </a:blip>
                    <a:stretch>
                      <a:fillRect/>
                    </a:stretch>
                  </pic:blipFill>
                  <pic:spPr>
                    <a:xfrm>
                      <a:off x="0" y="0"/>
                      <a:ext cx="759863" cy="2700000"/>
                    </a:xfrm>
                    <a:prstGeom prst="rect">
                      <a:avLst/>
                    </a:prstGeom>
                  </pic:spPr>
                </pic:pic>
              </a:graphicData>
            </a:graphic>
          </wp:inline>
        </w:drawing>
      </w:r>
      <w:r>
        <w:rPr>
          <w:noProof/>
          <w:snapToGrid/>
          <w:lang w:val="en-US" w:eastAsia="en-US"/>
        </w:rPr>
        <w:drawing>
          <wp:inline distT="0" distB="0" distL="0" distR="0" wp14:anchorId="2582E872" wp14:editId="2A1C18E9">
            <wp:extent cx="822413" cy="2700000"/>
            <wp:effectExtent l="0" t="0" r="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RCP-15F_Lumbar spine LAT.png"/>
                    <pic:cNvPicPr/>
                  </pic:nvPicPr>
                  <pic:blipFill>
                    <a:blip r:embed="rId147" cstate="email">
                      <a:extLst>
                        <a:ext uri="{28A0092B-C50C-407E-A947-70E740481C1C}">
                          <a14:useLocalDpi xmlns:a14="http://schemas.microsoft.com/office/drawing/2010/main"/>
                        </a:ext>
                      </a:extLst>
                    </a:blip>
                    <a:stretch>
                      <a:fillRect/>
                    </a:stretch>
                  </pic:blipFill>
                  <pic:spPr>
                    <a:xfrm>
                      <a:off x="0" y="0"/>
                      <a:ext cx="822413" cy="2700000"/>
                    </a:xfrm>
                    <a:prstGeom prst="rect">
                      <a:avLst/>
                    </a:prstGeom>
                  </pic:spPr>
                </pic:pic>
              </a:graphicData>
            </a:graphic>
          </wp:inline>
        </w:drawing>
      </w:r>
    </w:p>
    <w:p w14:paraId="53DEB0BB" w14:textId="77777777" w:rsidR="00E72CA9" w:rsidRDefault="00D516E3">
      <w:pPr>
        <w:pStyle w:val="Annaddtxt"/>
        <w:tabs>
          <w:tab w:val="clear" w:pos="646"/>
          <w:tab w:val="left" w:pos="851"/>
        </w:tabs>
        <w:spacing w:after="120"/>
        <w:rPr>
          <w:sz w:val="20"/>
        </w:rPr>
      </w:pPr>
      <w:r>
        <w:t xml:space="preserve">                </w:t>
      </w:r>
      <w:r>
        <w:rPr>
          <w:sz w:val="20"/>
        </w:rPr>
        <w:t>10-year old                                   15-year male                            15-year female</w:t>
      </w:r>
    </w:p>
    <w:p w14:paraId="212EDC96" w14:textId="77777777" w:rsidR="00E72CA9" w:rsidRDefault="00D516E3">
      <w:pPr>
        <w:pStyle w:val="Annaddtxt"/>
        <w:tabs>
          <w:tab w:val="clear" w:pos="646"/>
          <w:tab w:val="left" w:pos="851"/>
        </w:tabs>
        <w:rPr>
          <w:sz w:val="22"/>
          <w:szCs w:val="22"/>
          <w:highlight w:val="yellow"/>
        </w:rPr>
      </w:pPr>
      <w:r>
        <w:rPr>
          <w:sz w:val="22"/>
        </w:rPr>
        <w:t xml:space="preserve">Fig. B.18. </w:t>
      </w:r>
      <w:proofErr w:type="spellStart"/>
      <w:r>
        <w:rPr>
          <w:sz w:val="22"/>
        </w:rPr>
        <w:t>Sagital</w:t>
      </w:r>
      <w:proofErr w:type="spellEnd"/>
      <w:r>
        <w:rPr>
          <w:sz w:val="22"/>
        </w:rPr>
        <w:t xml:space="preserve"> images at the centre of the paediatric reference phantoms showing the anatomical landmarks for </w:t>
      </w:r>
      <w:r>
        <w:rPr>
          <w:sz w:val="22"/>
          <w:szCs w:val="22"/>
        </w:rPr>
        <w:t>lumbar spine lateral examination</w:t>
      </w:r>
      <w:r>
        <w:rPr>
          <w:sz w:val="22"/>
        </w:rPr>
        <w:t xml:space="preserve">. </w:t>
      </w:r>
      <w:r>
        <w:rPr>
          <w:sz w:val="22"/>
          <w:szCs w:val="22"/>
        </w:rPr>
        <w:t xml:space="preserve">For </w:t>
      </w:r>
      <w:r>
        <w:rPr>
          <w:bCs/>
          <w:snapToGrid/>
          <w:sz w:val="22"/>
          <w:szCs w:val="22"/>
          <w:lang w:val="en-US"/>
        </w:rPr>
        <w:t xml:space="preserve">newborn, 1-year, 5-year and 10-year old, the images for the male phantoms are shown. For 15-year old, images for the male and female are shown. </w:t>
      </w:r>
      <w:r>
        <w:rPr>
          <w:sz w:val="22"/>
        </w:rPr>
        <w:t>Left to right: the first image shows only the skeletal landmarks and the second image adds the organs of interest.</w:t>
      </w:r>
    </w:p>
    <w:p w14:paraId="1DD13A7D" w14:textId="77777777" w:rsidR="00E72CA9" w:rsidRDefault="00D516E3">
      <w:pPr>
        <w:pStyle w:val="Annaddtxt"/>
        <w:tabs>
          <w:tab w:val="clear" w:pos="646"/>
          <w:tab w:val="left" w:pos="851"/>
        </w:tabs>
        <w:rPr>
          <w:sz w:val="22"/>
          <w:highlight w:val="yellow"/>
        </w:rPr>
      </w:pPr>
      <w:r>
        <w:rPr>
          <w:sz w:val="22"/>
          <w:highlight w:val="yellow"/>
        </w:rPr>
        <w:br w:type="page"/>
      </w:r>
    </w:p>
    <w:p w14:paraId="7EBD98A2" w14:textId="77777777" w:rsidR="00E72CA9" w:rsidRDefault="00D516E3">
      <w:pPr>
        <w:pStyle w:val="ICRPannexheading3"/>
        <w:ind w:hanging="1146"/>
      </w:pPr>
      <w:r>
        <w:lastRenderedPageBreak/>
        <w:t>Thoraco-lumbar spine lateral (Lat) (newborn and 1-year old)</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512D482E" w14:textId="77777777">
        <w:tc>
          <w:tcPr>
            <w:tcW w:w="3330" w:type="dxa"/>
            <w:shd w:val="clear" w:color="auto" w:fill="auto"/>
          </w:tcPr>
          <w:p w14:paraId="4A958D24"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66547584" w14:textId="77777777" w:rsidR="00E72CA9" w:rsidRDefault="00D516E3">
            <w:pPr>
              <w:pStyle w:val="Annalstext"/>
              <w:tabs>
                <w:tab w:val="clear" w:pos="502"/>
              </w:tabs>
              <w:ind w:left="0" w:firstLine="0"/>
              <w:rPr>
                <w:bCs/>
                <w:snapToGrid/>
                <w:sz w:val="20"/>
                <w:lang w:val="en-US"/>
              </w:rPr>
            </w:pPr>
            <w:r>
              <w:rPr>
                <w:bCs/>
                <w:snapToGrid/>
                <w:sz w:val="20"/>
                <w:lang w:val="en-US"/>
              </w:rPr>
              <w:t>From C7 down to half sacrum (above coccyx); for newborn include cervical spine</w:t>
            </w:r>
          </w:p>
        </w:tc>
      </w:tr>
      <w:tr w:rsidR="00E72CA9" w14:paraId="4E4ED6BF" w14:textId="77777777">
        <w:tc>
          <w:tcPr>
            <w:tcW w:w="3330" w:type="dxa"/>
            <w:shd w:val="clear" w:color="auto" w:fill="auto"/>
          </w:tcPr>
          <w:p w14:paraId="5136F6E2"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44AA24B4" w14:textId="77777777" w:rsidR="00E72CA9" w:rsidRDefault="00D516E3">
            <w:pPr>
              <w:pStyle w:val="Annalstext"/>
              <w:tabs>
                <w:tab w:val="clear" w:pos="502"/>
              </w:tabs>
              <w:ind w:left="0" w:firstLine="0"/>
              <w:rPr>
                <w:bCs/>
                <w:snapToGrid/>
                <w:sz w:val="20"/>
                <w:lang w:val="en-US"/>
              </w:rPr>
            </w:pPr>
            <w:r>
              <w:rPr>
                <w:bCs/>
                <w:snapToGrid/>
                <w:sz w:val="20"/>
                <w:lang w:val="en-US"/>
              </w:rPr>
              <w:t>Should extend approx. 2 and 4 cm beyond the bone on the front and back, respectively</w:t>
            </w:r>
          </w:p>
        </w:tc>
      </w:tr>
      <w:tr w:rsidR="00E72CA9" w14:paraId="0669EB26" w14:textId="77777777">
        <w:tc>
          <w:tcPr>
            <w:tcW w:w="3330" w:type="dxa"/>
            <w:shd w:val="clear" w:color="auto" w:fill="auto"/>
          </w:tcPr>
          <w:p w14:paraId="4191308F"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7A00A940" w14:textId="77777777" w:rsidR="00E72CA9" w:rsidRDefault="00D516E3">
            <w:pPr>
              <w:pStyle w:val="Annalstext"/>
              <w:tabs>
                <w:tab w:val="clear" w:pos="502"/>
              </w:tabs>
              <w:ind w:left="0" w:firstLine="0"/>
              <w:rPr>
                <w:bCs/>
                <w:snapToGrid/>
                <w:sz w:val="20"/>
                <w:lang w:val="en-US"/>
              </w:rPr>
            </w:pPr>
            <w:r>
              <w:rPr>
                <w:bCs/>
                <w:snapToGrid/>
                <w:sz w:val="20"/>
                <w:lang w:val="en-US"/>
              </w:rPr>
              <w:t xml:space="preserve">100 cm </w:t>
            </w:r>
          </w:p>
        </w:tc>
      </w:tr>
      <w:tr w:rsidR="00E72CA9" w14:paraId="4D396B07" w14:textId="77777777">
        <w:tc>
          <w:tcPr>
            <w:tcW w:w="3330" w:type="dxa"/>
            <w:shd w:val="clear" w:color="auto" w:fill="auto"/>
          </w:tcPr>
          <w:p w14:paraId="286EBDB0"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3B6FDB36" w14:textId="77777777" w:rsidR="00E72CA9" w:rsidRDefault="00D516E3">
            <w:pPr>
              <w:pStyle w:val="Annalstext"/>
              <w:tabs>
                <w:tab w:val="clear" w:pos="502"/>
              </w:tabs>
              <w:ind w:left="0" w:firstLine="0"/>
              <w:rPr>
                <w:bCs/>
                <w:snapToGrid/>
                <w:sz w:val="20"/>
                <w:lang w:val="en-US"/>
              </w:rPr>
            </w:pPr>
            <w:r>
              <w:rPr>
                <w:bCs/>
                <w:snapToGrid/>
                <w:sz w:val="20"/>
                <w:lang w:val="en-US"/>
              </w:rPr>
              <w:t xml:space="preserve">10 cm (grid)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tc>
      </w:tr>
    </w:tbl>
    <w:p w14:paraId="2ECBBF2A"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12F45EAA" wp14:editId="43E06631">
            <wp:extent cx="989485" cy="2520000"/>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RCP-00M_Thoraco-lumbar spine LAT_no-organs.png"/>
                    <pic:cNvPicPr/>
                  </pic:nvPicPr>
                  <pic:blipFill>
                    <a:blip r:embed="rId148" cstate="email">
                      <a:extLst>
                        <a:ext uri="{28A0092B-C50C-407E-A947-70E740481C1C}">
                          <a14:useLocalDpi xmlns:a14="http://schemas.microsoft.com/office/drawing/2010/main"/>
                        </a:ext>
                      </a:extLst>
                    </a:blip>
                    <a:stretch>
                      <a:fillRect/>
                    </a:stretch>
                  </pic:blipFill>
                  <pic:spPr>
                    <a:xfrm>
                      <a:off x="0" y="0"/>
                      <a:ext cx="989485" cy="2520000"/>
                    </a:xfrm>
                    <a:prstGeom prst="rect">
                      <a:avLst/>
                    </a:prstGeom>
                  </pic:spPr>
                </pic:pic>
              </a:graphicData>
            </a:graphic>
          </wp:inline>
        </w:drawing>
      </w:r>
      <w:r>
        <w:rPr>
          <w:noProof/>
          <w:snapToGrid/>
          <w:lang w:val="en-US" w:eastAsia="en-US"/>
        </w:rPr>
        <w:drawing>
          <wp:inline distT="0" distB="0" distL="0" distR="0" wp14:anchorId="12BD35C1" wp14:editId="7FC3D951">
            <wp:extent cx="954765" cy="252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RCP-00M_Thoraco-lumbar spine LAT.png"/>
                    <pic:cNvPicPr/>
                  </pic:nvPicPr>
                  <pic:blipFill>
                    <a:blip r:embed="rId149" cstate="email">
                      <a:extLst>
                        <a:ext uri="{28A0092B-C50C-407E-A947-70E740481C1C}">
                          <a14:useLocalDpi xmlns:a14="http://schemas.microsoft.com/office/drawing/2010/main"/>
                        </a:ext>
                      </a:extLst>
                    </a:blip>
                    <a:stretch>
                      <a:fillRect/>
                    </a:stretch>
                  </pic:blipFill>
                  <pic:spPr>
                    <a:xfrm>
                      <a:off x="0" y="0"/>
                      <a:ext cx="954765" cy="2520000"/>
                    </a:xfrm>
                    <a:prstGeom prst="rect">
                      <a:avLst/>
                    </a:prstGeom>
                  </pic:spPr>
                </pic:pic>
              </a:graphicData>
            </a:graphic>
          </wp:inline>
        </w:drawing>
      </w:r>
      <w:r>
        <w:rPr>
          <w:noProof/>
          <w:snapToGrid/>
          <w:lang w:val="en-US" w:eastAsia="en-US"/>
        </w:rPr>
        <w:drawing>
          <wp:inline distT="0" distB="0" distL="0" distR="0" wp14:anchorId="1774FF13" wp14:editId="7E6A3F1C">
            <wp:extent cx="762635" cy="2548618"/>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CP-01M_Thoraco-lumbar spine LAT_no-organs.png"/>
                    <pic:cNvPicPr/>
                  </pic:nvPicPr>
                  <pic:blipFill rotWithShape="1">
                    <a:blip r:embed="rId150" cstate="email">
                      <a:extLst>
                        <a:ext uri="{28A0092B-C50C-407E-A947-70E740481C1C}">
                          <a14:useLocalDpi xmlns:a14="http://schemas.microsoft.com/office/drawing/2010/main"/>
                        </a:ext>
                      </a:extLst>
                    </a:blip>
                    <a:srcRect t="1629"/>
                    <a:stretch/>
                  </pic:blipFill>
                  <pic:spPr bwMode="auto">
                    <a:xfrm>
                      <a:off x="0" y="0"/>
                      <a:ext cx="762982" cy="2549778"/>
                    </a:xfrm>
                    <a:prstGeom prst="rect">
                      <a:avLst/>
                    </a:prstGeom>
                    <a:ln>
                      <a:noFill/>
                    </a:ln>
                    <a:extLst>
                      <a:ext uri="{53640926-AAD7-44D8-BBD7-CCE9431645EC}">
                        <a14:shadowObscured xmlns:a14="http://schemas.microsoft.com/office/drawing/2010/main"/>
                      </a:ext>
                    </a:extLst>
                  </pic:spPr>
                </pic:pic>
              </a:graphicData>
            </a:graphic>
          </wp:inline>
        </w:drawing>
      </w:r>
      <w:r>
        <w:rPr>
          <w:noProof/>
          <w:snapToGrid/>
          <w:lang w:val="en-US" w:eastAsia="en-US"/>
        </w:rPr>
        <w:drawing>
          <wp:inline distT="0" distB="0" distL="0" distR="0" wp14:anchorId="4D0412C0" wp14:editId="30503A13">
            <wp:extent cx="768239" cy="2556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RCP-01M_Thoraco-lumbar spine LAT.png"/>
                    <pic:cNvPicPr/>
                  </pic:nvPicPr>
                  <pic:blipFill>
                    <a:blip r:embed="rId151" cstate="email">
                      <a:extLst>
                        <a:ext uri="{28A0092B-C50C-407E-A947-70E740481C1C}">
                          <a14:useLocalDpi xmlns:a14="http://schemas.microsoft.com/office/drawing/2010/main"/>
                        </a:ext>
                      </a:extLst>
                    </a:blip>
                    <a:stretch>
                      <a:fillRect/>
                    </a:stretch>
                  </pic:blipFill>
                  <pic:spPr>
                    <a:xfrm>
                      <a:off x="0" y="0"/>
                      <a:ext cx="768239" cy="2556000"/>
                    </a:xfrm>
                    <a:prstGeom prst="rect">
                      <a:avLst/>
                    </a:prstGeom>
                  </pic:spPr>
                </pic:pic>
              </a:graphicData>
            </a:graphic>
          </wp:inline>
        </w:drawing>
      </w:r>
    </w:p>
    <w:p w14:paraId="59717D02" w14:textId="77777777" w:rsidR="00E72CA9" w:rsidRDefault="00D516E3">
      <w:pPr>
        <w:pStyle w:val="Annaddtxt"/>
        <w:tabs>
          <w:tab w:val="clear" w:pos="646"/>
          <w:tab w:val="left" w:pos="851"/>
        </w:tabs>
        <w:spacing w:after="120"/>
        <w:rPr>
          <w:sz w:val="20"/>
        </w:rPr>
      </w:pPr>
      <w:r>
        <w:rPr>
          <w:sz w:val="20"/>
        </w:rPr>
        <w:t xml:space="preserve">                                                     Newborn                                               1-year old                </w:t>
      </w:r>
    </w:p>
    <w:p w14:paraId="71D58BE4" w14:textId="77777777" w:rsidR="00E72CA9" w:rsidRDefault="00D516E3">
      <w:pPr>
        <w:pStyle w:val="Annaddtxt"/>
        <w:tabs>
          <w:tab w:val="clear" w:pos="646"/>
          <w:tab w:val="left" w:pos="851"/>
        </w:tabs>
        <w:rPr>
          <w:sz w:val="22"/>
          <w:szCs w:val="22"/>
          <w:highlight w:val="yellow"/>
        </w:rPr>
      </w:pPr>
      <w:r>
        <w:rPr>
          <w:sz w:val="22"/>
          <w:szCs w:val="22"/>
        </w:rPr>
        <w:t xml:space="preserve">Fig. B.19. </w:t>
      </w:r>
      <w:proofErr w:type="spellStart"/>
      <w:r>
        <w:rPr>
          <w:sz w:val="22"/>
        </w:rPr>
        <w:t>Sagital</w:t>
      </w:r>
      <w:proofErr w:type="spellEnd"/>
      <w:r>
        <w:rPr>
          <w:sz w:val="22"/>
        </w:rPr>
        <w:t xml:space="preserve"> images at the centre of the </w:t>
      </w:r>
      <w:r>
        <w:rPr>
          <w:sz w:val="22"/>
          <w:szCs w:val="22"/>
        </w:rPr>
        <w:t>newborn and 1-year old male phantoms</w:t>
      </w:r>
      <w:r>
        <w:rPr>
          <w:sz w:val="22"/>
        </w:rPr>
        <w:t xml:space="preserve"> showing the anatomical landmarks for </w:t>
      </w:r>
      <w:r>
        <w:rPr>
          <w:sz w:val="22"/>
          <w:szCs w:val="22"/>
        </w:rPr>
        <w:t>thoraco-lumbar spine lateral examination</w:t>
      </w:r>
      <w:r>
        <w:rPr>
          <w:sz w:val="22"/>
        </w:rPr>
        <w:t>. Left to right: the first image shows only the skeletal landmarks and the second image adds the organs of interest.</w:t>
      </w:r>
    </w:p>
    <w:p w14:paraId="2864A5B0" w14:textId="77777777" w:rsidR="00E72CA9" w:rsidRDefault="00D516E3">
      <w:pPr>
        <w:pStyle w:val="ICRPannexheading3"/>
        <w:ind w:left="851" w:hanging="851"/>
      </w:pPr>
      <w:r>
        <w:t xml:space="preserve">Scoliosis anterior-posterior (AP) (newborn and 1-year old) </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788F0BE2" w14:textId="77777777">
        <w:tc>
          <w:tcPr>
            <w:tcW w:w="3330" w:type="dxa"/>
            <w:shd w:val="clear" w:color="auto" w:fill="auto"/>
          </w:tcPr>
          <w:p w14:paraId="38350E28"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666CD75E" w14:textId="77777777" w:rsidR="00E72CA9" w:rsidRDefault="00D516E3">
            <w:pPr>
              <w:pStyle w:val="Annalstext"/>
              <w:tabs>
                <w:tab w:val="clear" w:pos="502"/>
              </w:tabs>
              <w:ind w:left="0" w:firstLine="0"/>
              <w:rPr>
                <w:bCs/>
                <w:snapToGrid/>
                <w:sz w:val="20"/>
                <w:lang w:val="en-US"/>
              </w:rPr>
            </w:pPr>
            <w:r>
              <w:rPr>
                <w:bCs/>
                <w:snapToGrid/>
                <w:sz w:val="20"/>
                <w:lang w:val="en-US"/>
              </w:rPr>
              <w:t>From skull base down to proximal femurs</w:t>
            </w:r>
          </w:p>
        </w:tc>
      </w:tr>
      <w:tr w:rsidR="00E72CA9" w14:paraId="03AE9CB8" w14:textId="77777777">
        <w:tc>
          <w:tcPr>
            <w:tcW w:w="3330" w:type="dxa"/>
            <w:shd w:val="clear" w:color="auto" w:fill="auto"/>
          </w:tcPr>
          <w:p w14:paraId="22C7DC08"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6850ED5B" w14:textId="77777777" w:rsidR="00E72CA9" w:rsidRDefault="00D516E3">
            <w:pPr>
              <w:pStyle w:val="Annalstext"/>
              <w:tabs>
                <w:tab w:val="clear" w:pos="502"/>
              </w:tabs>
              <w:ind w:left="0" w:firstLine="0"/>
              <w:rPr>
                <w:bCs/>
                <w:snapToGrid/>
                <w:sz w:val="20"/>
                <w:lang w:val="en-US"/>
              </w:rPr>
            </w:pPr>
            <w:r>
              <w:rPr>
                <w:bCs/>
                <w:snapToGrid/>
                <w:sz w:val="20"/>
                <w:lang w:val="en-US"/>
              </w:rPr>
              <w:t>Should include all skeletal anatomy (without arms)</w:t>
            </w:r>
          </w:p>
        </w:tc>
      </w:tr>
      <w:tr w:rsidR="00E72CA9" w14:paraId="4E645B8B" w14:textId="77777777">
        <w:tc>
          <w:tcPr>
            <w:tcW w:w="3330" w:type="dxa"/>
            <w:shd w:val="clear" w:color="auto" w:fill="auto"/>
          </w:tcPr>
          <w:p w14:paraId="5CBEFE75"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2634B083" w14:textId="77777777" w:rsidR="00E72CA9" w:rsidRDefault="00D516E3">
            <w:pPr>
              <w:pStyle w:val="Annalstext"/>
              <w:tabs>
                <w:tab w:val="clear" w:pos="502"/>
              </w:tabs>
              <w:ind w:left="0" w:firstLine="0"/>
              <w:rPr>
                <w:bCs/>
                <w:snapToGrid/>
                <w:sz w:val="20"/>
                <w:lang w:val="en-US"/>
              </w:rPr>
            </w:pPr>
            <w:r>
              <w:rPr>
                <w:bCs/>
                <w:snapToGrid/>
                <w:sz w:val="20"/>
                <w:lang w:val="en-US"/>
              </w:rPr>
              <w:t xml:space="preserve">110 cm </w:t>
            </w:r>
          </w:p>
        </w:tc>
      </w:tr>
      <w:tr w:rsidR="00E72CA9" w14:paraId="4A88D9D6" w14:textId="77777777">
        <w:tc>
          <w:tcPr>
            <w:tcW w:w="3330" w:type="dxa"/>
            <w:shd w:val="clear" w:color="auto" w:fill="auto"/>
          </w:tcPr>
          <w:p w14:paraId="7B18C80C"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00BF6B6D" w14:textId="77777777" w:rsidR="00E72CA9" w:rsidRDefault="00D516E3">
            <w:pPr>
              <w:pStyle w:val="Annalstext"/>
              <w:tabs>
                <w:tab w:val="clear" w:pos="502"/>
              </w:tabs>
              <w:ind w:left="0" w:firstLine="0"/>
              <w:rPr>
                <w:bCs/>
                <w:snapToGrid/>
                <w:sz w:val="20"/>
                <w:lang w:val="en-US"/>
              </w:rPr>
            </w:pPr>
            <w:r>
              <w:rPr>
                <w:bCs/>
                <w:snapToGrid/>
                <w:color w:val="000000" w:themeColor="text1"/>
                <w:sz w:val="20"/>
                <w:lang w:val="en-US"/>
              </w:rPr>
              <w:t xml:space="preserve">0 cm (no grid) for the newborn; SDD: 10 cm (grid) </w:t>
            </w:r>
            <w:r>
              <w:rPr>
                <w:bCs/>
                <w:snapToGrid/>
                <w:color w:val="000000" w:themeColor="text1"/>
                <w:sz w:val="20"/>
                <w:lang w:val="en-US"/>
              </w:rPr>
              <w:fldChar w:fldCharType="begin"/>
            </w:r>
            <w:r>
              <w:rPr>
                <w:bCs/>
                <w:snapToGrid/>
                <w:color w:val="000000" w:themeColor="text1"/>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color w:val="000000" w:themeColor="text1"/>
                <w:sz w:val="20"/>
                <w:lang w:val="en-US"/>
              </w:rPr>
              <w:fldChar w:fldCharType="separate"/>
            </w:r>
            <w:r>
              <w:rPr>
                <w:bCs/>
                <w:noProof/>
                <w:snapToGrid/>
                <w:color w:val="000000" w:themeColor="text1"/>
                <w:sz w:val="20"/>
                <w:lang w:val="en-US"/>
              </w:rPr>
              <w:t>(Knight, 2014)</w:t>
            </w:r>
            <w:r>
              <w:rPr>
                <w:bCs/>
                <w:snapToGrid/>
                <w:color w:val="000000" w:themeColor="text1"/>
                <w:sz w:val="20"/>
                <w:lang w:val="en-US"/>
              </w:rPr>
              <w:fldChar w:fldCharType="end"/>
            </w:r>
            <w:r>
              <w:rPr>
                <w:bCs/>
                <w:snapToGrid/>
                <w:color w:val="000000" w:themeColor="text1"/>
                <w:sz w:val="20"/>
                <w:lang w:val="en-US"/>
              </w:rPr>
              <w:t xml:space="preserve"> for 1-year-old</w:t>
            </w:r>
          </w:p>
        </w:tc>
      </w:tr>
    </w:tbl>
    <w:p w14:paraId="7F19CB25" w14:textId="77777777" w:rsidR="00E72CA9" w:rsidRDefault="00D516E3">
      <w:pPr>
        <w:pStyle w:val="Annaddtxt"/>
        <w:tabs>
          <w:tab w:val="clear" w:pos="646"/>
          <w:tab w:val="left" w:pos="851"/>
        </w:tabs>
        <w:jc w:val="center"/>
      </w:pPr>
      <w:r>
        <w:rPr>
          <w:noProof/>
          <w:snapToGrid/>
          <w:lang w:val="en-US" w:eastAsia="en-US"/>
        </w:rPr>
        <w:drawing>
          <wp:inline distT="0" distB="0" distL="0" distR="0" wp14:anchorId="10D0BB14" wp14:editId="32A5AF61">
            <wp:extent cx="1196403" cy="2376000"/>
            <wp:effectExtent l="0" t="0" r="3810" b="571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RCP-00M Scoliosis AP organs.png"/>
                    <pic:cNvPicPr/>
                  </pic:nvPicPr>
                  <pic:blipFill>
                    <a:blip r:embed="rId152" cstate="email">
                      <a:extLst>
                        <a:ext uri="{28A0092B-C50C-407E-A947-70E740481C1C}">
                          <a14:useLocalDpi xmlns:a14="http://schemas.microsoft.com/office/drawing/2010/main"/>
                        </a:ext>
                      </a:extLst>
                    </a:blip>
                    <a:stretch>
                      <a:fillRect/>
                    </a:stretch>
                  </pic:blipFill>
                  <pic:spPr>
                    <a:xfrm>
                      <a:off x="0" y="0"/>
                      <a:ext cx="1196403" cy="2376000"/>
                    </a:xfrm>
                    <a:prstGeom prst="rect">
                      <a:avLst/>
                    </a:prstGeom>
                  </pic:spPr>
                </pic:pic>
              </a:graphicData>
            </a:graphic>
          </wp:inline>
        </w:drawing>
      </w:r>
      <w:r>
        <w:rPr>
          <w:noProof/>
          <w:snapToGrid/>
          <w:lang w:val="en-US" w:eastAsia="en-US"/>
        </w:rPr>
        <w:drawing>
          <wp:inline distT="0" distB="0" distL="0" distR="0" wp14:anchorId="1945F029" wp14:editId="2B1B1928">
            <wp:extent cx="1285597" cy="2376000"/>
            <wp:effectExtent l="0" t="0" r="0" b="5715"/>
            <wp:docPr id="1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RCP-00M Scoliosis AP.png"/>
                    <pic:cNvPicPr/>
                  </pic:nvPicPr>
                  <pic:blipFill>
                    <a:blip r:embed="rId153" cstate="email">
                      <a:extLst>
                        <a:ext uri="{28A0092B-C50C-407E-A947-70E740481C1C}">
                          <a14:useLocalDpi xmlns:a14="http://schemas.microsoft.com/office/drawing/2010/main"/>
                        </a:ext>
                      </a:extLst>
                    </a:blip>
                    <a:stretch>
                      <a:fillRect/>
                    </a:stretch>
                  </pic:blipFill>
                  <pic:spPr>
                    <a:xfrm>
                      <a:off x="0" y="0"/>
                      <a:ext cx="1285597" cy="2376000"/>
                    </a:xfrm>
                    <a:prstGeom prst="rect">
                      <a:avLst/>
                    </a:prstGeom>
                  </pic:spPr>
                </pic:pic>
              </a:graphicData>
            </a:graphic>
          </wp:inline>
        </w:drawing>
      </w:r>
      <w:r>
        <w:rPr>
          <w:noProof/>
          <w:snapToGrid/>
          <w:lang w:val="en-US" w:eastAsia="en-US"/>
        </w:rPr>
        <w:drawing>
          <wp:inline distT="0" distB="0" distL="0" distR="0" wp14:anchorId="49A0D937" wp14:editId="3AB9E9F9">
            <wp:extent cx="1013491" cy="2376000"/>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RCP-01M Scoliosis AP.png"/>
                    <pic:cNvPicPr/>
                  </pic:nvPicPr>
                  <pic:blipFill>
                    <a:blip r:embed="rId154" cstate="email">
                      <a:extLst>
                        <a:ext uri="{28A0092B-C50C-407E-A947-70E740481C1C}">
                          <a14:useLocalDpi xmlns:a14="http://schemas.microsoft.com/office/drawing/2010/main"/>
                        </a:ext>
                      </a:extLst>
                    </a:blip>
                    <a:stretch>
                      <a:fillRect/>
                    </a:stretch>
                  </pic:blipFill>
                  <pic:spPr>
                    <a:xfrm>
                      <a:off x="0" y="0"/>
                      <a:ext cx="1013491" cy="2376000"/>
                    </a:xfrm>
                    <a:prstGeom prst="rect">
                      <a:avLst/>
                    </a:prstGeom>
                  </pic:spPr>
                </pic:pic>
              </a:graphicData>
            </a:graphic>
          </wp:inline>
        </w:drawing>
      </w:r>
      <w:r>
        <w:rPr>
          <w:noProof/>
          <w:snapToGrid/>
          <w:lang w:val="en-US" w:eastAsia="en-US"/>
        </w:rPr>
        <w:drawing>
          <wp:inline distT="0" distB="0" distL="0" distR="0" wp14:anchorId="0951CAE1" wp14:editId="21E0CFEA">
            <wp:extent cx="971235" cy="2376000"/>
            <wp:effectExtent l="0" t="0" r="635"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RCP-01M Scoliosis AP organs.png"/>
                    <pic:cNvPicPr/>
                  </pic:nvPicPr>
                  <pic:blipFill>
                    <a:blip r:embed="rId155" cstate="email">
                      <a:extLst>
                        <a:ext uri="{28A0092B-C50C-407E-A947-70E740481C1C}">
                          <a14:useLocalDpi xmlns:a14="http://schemas.microsoft.com/office/drawing/2010/main"/>
                        </a:ext>
                      </a:extLst>
                    </a:blip>
                    <a:stretch>
                      <a:fillRect/>
                    </a:stretch>
                  </pic:blipFill>
                  <pic:spPr>
                    <a:xfrm>
                      <a:off x="0" y="0"/>
                      <a:ext cx="971235" cy="2376000"/>
                    </a:xfrm>
                    <a:prstGeom prst="rect">
                      <a:avLst/>
                    </a:prstGeom>
                  </pic:spPr>
                </pic:pic>
              </a:graphicData>
            </a:graphic>
          </wp:inline>
        </w:drawing>
      </w:r>
    </w:p>
    <w:p w14:paraId="1B933F08" w14:textId="77777777" w:rsidR="00E72CA9" w:rsidRDefault="00D516E3">
      <w:pPr>
        <w:pStyle w:val="Annaddtxt"/>
        <w:tabs>
          <w:tab w:val="clear" w:pos="646"/>
          <w:tab w:val="left" w:pos="851"/>
        </w:tabs>
        <w:spacing w:after="120"/>
        <w:rPr>
          <w:sz w:val="20"/>
        </w:rPr>
      </w:pPr>
      <w:r>
        <w:rPr>
          <w:sz w:val="20"/>
        </w:rPr>
        <w:t xml:space="preserve">                                                  Newborn                                                          1-year old                </w:t>
      </w:r>
    </w:p>
    <w:p w14:paraId="7AE5E1A8" w14:textId="77777777" w:rsidR="00E72CA9" w:rsidRDefault="00D516E3">
      <w:pPr>
        <w:pStyle w:val="Annaddtxt"/>
        <w:tabs>
          <w:tab w:val="clear" w:pos="646"/>
          <w:tab w:val="left" w:pos="851"/>
        </w:tabs>
        <w:rPr>
          <w:sz w:val="22"/>
          <w:szCs w:val="22"/>
          <w:highlight w:val="yellow"/>
        </w:rPr>
      </w:pPr>
      <w:r>
        <w:rPr>
          <w:sz w:val="22"/>
        </w:rPr>
        <w:t xml:space="preserve">Fig. B.20. Coronal images at the centre of the </w:t>
      </w:r>
      <w:r>
        <w:rPr>
          <w:sz w:val="22"/>
          <w:szCs w:val="22"/>
        </w:rPr>
        <w:t>newborn and 1-year old male phantoms</w:t>
      </w:r>
      <w:r>
        <w:rPr>
          <w:sz w:val="22"/>
        </w:rPr>
        <w:t xml:space="preserve"> showing the anatomical landmarks for scoliosis anterior-posterior </w:t>
      </w:r>
      <w:r>
        <w:rPr>
          <w:sz w:val="22"/>
          <w:szCs w:val="22"/>
        </w:rPr>
        <w:t>examination</w:t>
      </w:r>
      <w:r>
        <w:rPr>
          <w:sz w:val="22"/>
        </w:rPr>
        <w:t>. Left to right: the first image shows only the skeletal landmarks and the second image adds the organs of interest.</w:t>
      </w:r>
    </w:p>
    <w:p w14:paraId="600EDC5F" w14:textId="77777777" w:rsidR="00E72CA9" w:rsidRDefault="00D516E3">
      <w:pPr>
        <w:pStyle w:val="ICRPannexheading3"/>
        <w:ind w:hanging="1146"/>
      </w:pPr>
      <w:r>
        <w:lastRenderedPageBreak/>
        <w:t>Scoliosis posterior-anterior (PA) (5-year, 10-year and 15-year old)</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37518D0B" w14:textId="77777777">
        <w:tc>
          <w:tcPr>
            <w:tcW w:w="3330" w:type="dxa"/>
            <w:shd w:val="clear" w:color="auto" w:fill="auto"/>
          </w:tcPr>
          <w:p w14:paraId="3529098B"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025FFBF5" w14:textId="77777777" w:rsidR="00E72CA9" w:rsidRDefault="00D516E3">
            <w:pPr>
              <w:pStyle w:val="Annalstext"/>
              <w:tabs>
                <w:tab w:val="clear" w:pos="502"/>
              </w:tabs>
              <w:ind w:left="0" w:firstLine="0"/>
              <w:rPr>
                <w:bCs/>
                <w:snapToGrid/>
                <w:sz w:val="20"/>
                <w:lang w:val="en-US"/>
              </w:rPr>
            </w:pPr>
            <w:r>
              <w:rPr>
                <w:bCs/>
                <w:snapToGrid/>
                <w:sz w:val="20"/>
                <w:lang w:val="en-US"/>
              </w:rPr>
              <w:t>From skull base down to proximal femurs</w:t>
            </w:r>
          </w:p>
        </w:tc>
      </w:tr>
      <w:tr w:rsidR="00E72CA9" w14:paraId="4F04C9A4" w14:textId="77777777">
        <w:tc>
          <w:tcPr>
            <w:tcW w:w="3330" w:type="dxa"/>
            <w:shd w:val="clear" w:color="auto" w:fill="auto"/>
          </w:tcPr>
          <w:p w14:paraId="4E9CAAD3"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6B524A99" w14:textId="77777777" w:rsidR="00E72CA9" w:rsidRDefault="00D516E3">
            <w:pPr>
              <w:pStyle w:val="Annalstext"/>
              <w:tabs>
                <w:tab w:val="clear" w:pos="502"/>
              </w:tabs>
              <w:ind w:left="0" w:firstLine="0"/>
              <w:rPr>
                <w:bCs/>
                <w:snapToGrid/>
                <w:sz w:val="20"/>
                <w:lang w:val="en-US"/>
              </w:rPr>
            </w:pPr>
            <w:r>
              <w:rPr>
                <w:bCs/>
                <w:snapToGrid/>
                <w:sz w:val="20"/>
                <w:lang w:val="en-US"/>
              </w:rPr>
              <w:t>Should include all skeletal anatomy (without arms)</w:t>
            </w:r>
          </w:p>
        </w:tc>
      </w:tr>
      <w:tr w:rsidR="00E72CA9" w14:paraId="321A0BCA" w14:textId="77777777">
        <w:tc>
          <w:tcPr>
            <w:tcW w:w="3330" w:type="dxa"/>
            <w:shd w:val="clear" w:color="auto" w:fill="auto"/>
          </w:tcPr>
          <w:p w14:paraId="05B86E60"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0F6F0B88" w14:textId="77777777" w:rsidR="00E72CA9" w:rsidRDefault="00D516E3">
            <w:pPr>
              <w:pStyle w:val="Annalstext"/>
              <w:tabs>
                <w:tab w:val="clear" w:pos="502"/>
              </w:tabs>
              <w:ind w:left="0" w:firstLine="0"/>
              <w:rPr>
                <w:bCs/>
                <w:snapToGrid/>
                <w:sz w:val="20"/>
                <w:lang w:val="en-US"/>
              </w:rPr>
            </w:pPr>
            <w:r>
              <w:rPr>
                <w:bCs/>
                <w:snapToGrid/>
                <w:sz w:val="20"/>
                <w:lang w:val="en-US"/>
              </w:rPr>
              <w:t xml:space="preserve">180 cm </w:t>
            </w:r>
          </w:p>
        </w:tc>
      </w:tr>
      <w:tr w:rsidR="00E72CA9" w14:paraId="474C591E" w14:textId="77777777">
        <w:tc>
          <w:tcPr>
            <w:tcW w:w="3330" w:type="dxa"/>
            <w:shd w:val="clear" w:color="auto" w:fill="auto"/>
          </w:tcPr>
          <w:p w14:paraId="2C4324BE"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26E55721" w14:textId="77777777" w:rsidR="00E72CA9" w:rsidRDefault="00D516E3">
            <w:pPr>
              <w:pStyle w:val="Annalstext"/>
              <w:tabs>
                <w:tab w:val="clear" w:pos="502"/>
              </w:tabs>
              <w:ind w:left="0" w:firstLine="0"/>
              <w:rPr>
                <w:bCs/>
                <w:snapToGrid/>
                <w:sz w:val="20"/>
                <w:lang w:val="en-US"/>
              </w:rPr>
            </w:pPr>
            <w:r>
              <w:rPr>
                <w:bCs/>
                <w:snapToGrid/>
                <w:sz w:val="20"/>
                <w:lang w:val="en-US"/>
              </w:rPr>
              <w:t xml:space="preserve">10 cm (grid) for all ages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tc>
      </w:tr>
    </w:tbl>
    <w:p w14:paraId="57039C5A" w14:textId="77777777" w:rsidR="00E72CA9" w:rsidRDefault="00D516E3">
      <w:pPr>
        <w:pStyle w:val="Annaddtxt"/>
        <w:tabs>
          <w:tab w:val="clear" w:pos="646"/>
          <w:tab w:val="left" w:pos="851"/>
        </w:tabs>
        <w:spacing w:before="120"/>
        <w:jc w:val="center"/>
      </w:pPr>
      <w:r>
        <w:rPr>
          <w:noProof/>
          <w:snapToGrid/>
          <w:lang w:val="en-US" w:eastAsia="en-US"/>
        </w:rPr>
        <w:drawing>
          <wp:inline distT="0" distB="0" distL="0" distR="0" wp14:anchorId="489503FF" wp14:editId="17C72C20">
            <wp:extent cx="1333546" cy="2872252"/>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RCP-05M Scoliosis PA.png"/>
                    <pic:cNvPicPr/>
                  </pic:nvPicPr>
                  <pic:blipFill>
                    <a:blip r:embed="rId156" cstate="email">
                      <a:extLst>
                        <a:ext uri="{28A0092B-C50C-407E-A947-70E740481C1C}">
                          <a14:useLocalDpi xmlns:a14="http://schemas.microsoft.com/office/drawing/2010/main"/>
                        </a:ext>
                      </a:extLst>
                    </a:blip>
                    <a:stretch>
                      <a:fillRect/>
                    </a:stretch>
                  </pic:blipFill>
                  <pic:spPr>
                    <a:xfrm>
                      <a:off x="0" y="0"/>
                      <a:ext cx="1346952" cy="2901125"/>
                    </a:xfrm>
                    <a:prstGeom prst="rect">
                      <a:avLst/>
                    </a:prstGeom>
                  </pic:spPr>
                </pic:pic>
              </a:graphicData>
            </a:graphic>
          </wp:inline>
        </w:drawing>
      </w:r>
      <w:r>
        <w:rPr>
          <w:noProof/>
          <w:snapToGrid/>
          <w:lang w:val="en-US" w:eastAsia="en-US"/>
        </w:rPr>
        <w:drawing>
          <wp:inline distT="0" distB="0" distL="0" distR="0" wp14:anchorId="4EF47CF9" wp14:editId="146B42E3">
            <wp:extent cx="1409061" cy="2857535"/>
            <wp:effectExtent l="0" t="0" r="127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RCP-05M Scoliosis PA organs.png"/>
                    <pic:cNvPicPr/>
                  </pic:nvPicPr>
                  <pic:blipFill>
                    <a:blip r:embed="rId157" cstate="email">
                      <a:extLst>
                        <a:ext uri="{28A0092B-C50C-407E-A947-70E740481C1C}">
                          <a14:useLocalDpi xmlns:a14="http://schemas.microsoft.com/office/drawing/2010/main"/>
                        </a:ext>
                      </a:extLst>
                    </a:blip>
                    <a:stretch>
                      <a:fillRect/>
                    </a:stretch>
                  </pic:blipFill>
                  <pic:spPr>
                    <a:xfrm>
                      <a:off x="0" y="0"/>
                      <a:ext cx="1422524" cy="2884838"/>
                    </a:xfrm>
                    <a:prstGeom prst="rect">
                      <a:avLst/>
                    </a:prstGeom>
                  </pic:spPr>
                </pic:pic>
              </a:graphicData>
            </a:graphic>
          </wp:inline>
        </w:drawing>
      </w:r>
      <w:r>
        <w:rPr>
          <w:noProof/>
          <w:snapToGrid/>
          <w:lang w:val="en-US" w:eastAsia="en-US"/>
        </w:rPr>
        <w:drawing>
          <wp:inline distT="0" distB="0" distL="0" distR="0" wp14:anchorId="71F1BD8D" wp14:editId="6201C82D">
            <wp:extent cx="1252025" cy="2864131"/>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RCP-10M Scoliosis PA.png"/>
                    <pic:cNvPicPr/>
                  </pic:nvPicPr>
                  <pic:blipFill>
                    <a:blip r:embed="rId158" cstate="email">
                      <a:extLst>
                        <a:ext uri="{28A0092B-C50C-407E-A947-70E740481C1C}">
                          <a14:useLocalDpi xmlns:a14="http://schemas.microsoft.com/office/drawing/2010/main"/>
                        </a:ext>
                      </a:extLst>
                    </a:blip>
                    <a:stretch>
                      <a:fillRect/>
                    </a:stretch>
                  </pic:blipFill>
                  <pic:spPr>
                    <a:xfrm>
                      <a:off x="0" y="0"/>
                      <a:ext cx="1268278" cy="2901311"/>
                    </a:xfrm>
                    <a:prstGeom prst="rect">
                      <a:avLst/>
                    </a:prstGeom>
                  </pic:spPr>
                </pic:pic>
              </a:graphicData>
            </a:graphic>
          </wp:inline>
        </w:drawing>
      </w:r>
      <w:r>
        <w:rPr>
          <w:noProof/>
          <w:snapToGrid/>
          <w:lang w:val="en-US" w:eastAsia="en-US"/>
        </w:rPr>
        <w:drawing>
          <wp:inline distT="0" distB="0" distL="0" distR="0" wp14:anchorId="79694D39" wp14:editId="57C46C9B">
            <wp:extent cx="1323406" cy="286186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RCP-10M Scoliosis PA organs.png"/>
                    <pic:cNvPicPr/>
                  </pic:nvPicPr>
                  <pic:blipFill>
                    <a:blip r:embed="rId159" cstate="email">
                      <a:extLst>
                        <a:ext uri="{28A0092B-C50C-407E-A947-70E740481C1C}">
                          <a14:useLocalDpi xmlns:a14="http://schemas.microsoft.com/office/drawing/2010/main"/>
                        </a:ext>
                      </a:extLst>
                    </a:blip>
                    <a:stretch>
                      <a:fillRect/>
                    </a:stretch>
                  </pic:blipFill>
                  <pic:spPr>
                    <a:xfrm>
                      <a:off x="0" y="0"/>
                      <a:ext cx="1338098" cy="2893636"/>
                    </a:xfrm>
                    <a:prstGeom prst="rect">
                      <a:avLst/>
                    </a:prstGeom>
                  </pic:spPr>
                </pic:pic>
              </a:graphicData>
            </a:graphic>
          </wp:inline>
        </w:drawing>
      </w:r>
    </w:p>
    <w:p w14:paraId="40921B56" w14:textId="77777777" w:rsidR="00E72CA9" w:rsidRDefault="00D516E3">
      <w:pPr>
        <w:pStyle w:val="Annaddtxt"/>
        <w:tabs>
          <w:tab w:val="clear" w:pos="646"/>
          <w:tab w:val="left" w:pos="851"/>
        </w:tabs>
        <w:rPr>
          <w:sz w:val="20"/>
        </w:rPr>
      </w:pPr>
      <w:r>
        <w:rPr>
          <w:sz w:val="20"/>
        </w:rPr>
        <w:t xml:space="preserve">                                        5-year old                                                                   10-year old   </w:t>
      </w:r>
    </w:p>
    <w:p w14:paraId="402F88A3" w14:textId="77777777" w:rsidR="00E72CA9" w:rsidRDefault="00D516E3">
      <w:pPr>
        <w:pStyle w:val="Annaddtxt"/>
        <w:tabs>
          <w:tab w:val="clear" w:pos="646"/>
          <w:tab w:val="left" w:pos="851"/>
        </w:tabs>
        <w:spacing w:before="240"/>
        <w:jc w:val="center"/>
      </w:pPr>
      <w:r>
        <w:rPr>
          <w:noProof/>
          <w:snapToGrid/>
          <w:lang w:val="en-US" w:eastAsia="en-US"/>
        </w:rPr>
        <w:drawing>
          <wp:inline distT="0" distB="0" distL="0" distR="0" wp14:anchorId="25875B8A" wp14:editId="54CF7FD1">
            <wp:extent cx="1321854" cy="2868490"/>
            <wp:effectExtent l="0" t="0" r="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CP-15M Scoliosis PA.png"/>
                    <pic:cNvPicPr/>
                  </pic:nvPicPr>
                  <pic:blipFill>
                    <a:blip r:embed="rId160" cstate="email">
                      <a:extLst>
                        <a:ext uri="{28A0092B-C50C-407E-A947-70E740481C1C}">
                          <a14:useLocalDpi xmlns:a14="http://schemas.microsoft.com/office/drawing/2010/main"/>
                        </a:ext>
                      </a:extLst>
                    </a:blip>
                    <a:stretch>
                      <a:fillRect/>
                    </a:stretch>
                  </pic:blipFill>
                  <pic:spPr>
                    <a:xfrm>
                      <a:off x="0" y="0"/>
                      <a:ext cx="1337111" cy="2901598"/>
                    </a:xfrm>
                    <a:prstGeom prst="rect">
                      <a:avLst/>
                    </a:prstGeom>
                  </pic:spPr>
                </pic:pic>
              </a:graphicData>
            </a:graphic>
          </wp:inline>
        </w:drawing>
      </w:r>
      <w:r>
        <w:rPr>
          <w:noProof/>
          <w:snapToGrid/>
          <w:lang w:val="en-US" w:eastAsia="en-US"/>
        </w:rPr>
        <w:drawing>
          <wp:inline distT="0" distB="0" distL="0" distR="0" wp14:anchorId="37676817" wp14:editId="15111B2A">
            <wp:extent cx="1330913" cy="2858135"/>
            <wp:effectExtent l="0" t="0" r="317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RCP-15M Scoliosis PA organs.png"/>
                    <pic:cNvPicPr/>
                  </pic:nvPicPr>
                  <pic:blipFill>
                    <a:blip r:embed="rId161" cstate="email">
                      <a:extLst>
                        <a:ext uri="{28A0092B-C50C-407E-A947-70E740481C1C}">
                          <a14:useLocalDpi xmlns:a14="http://schemas.microsoft.com/office/drawing/2010/main"/>
                        </a:ext>
                      </a:extLst>
                    </a:blip>
                    <a:stretch>
                      <a:fillRect/>
                    </a:stretch>
                  </pic:blipFill>
                  <pic:spPr>
                    <a:xfrm>
                      <a:off x="0" y="0"/>
                      <a:ext cx="1348596" cy="2896109"/>
                    </a:xfrm>
                    <a:prstGeom prst="rect">
                      <a:avLst/>
                    </a:prstGeom>
                  </pic:spPr>
                </pic:pic>
              </a:graphicData>
            </a:graphic>
          </wp:inline>
        </w:drawing>
      </w:r>
      <w:r>
        <w:rPr>
          <w:noProof/>
          <w:snapToGrid/>
          <w:lang w:val="en-US" w:eastAsia="en-US"/>
        </w:rPr>
        <w:drawing>
          <wp:inline distT="0" distB="0" distL="0" distR="0" wp14:anchorId="4C4BE7CF" wp14:editId="1708C9F7">
            <wp:extent cx="1216855" cy="2844810"/>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RCP-15F Scoliosis PA.png"/>
                    <pic:cNvPicPr/>
                  </pic:nvPicPr>
                  <pic:blipFill>
                    <a:blip r:embed="rId162" cstate="email">
                      <a:extLst>
                        <a:ext uri="{28A0092B-C50C-407E-A947-70E740481C1C}">
                          <a14:useLocalDpi xmlns:a14="http://schemas.microsoft.com/office/drawing/2010/main"/>
                        </a:ext>
                      </a:extLst>
                    </a:blip>
                    <a:stretch>
                      <a:fillRect/>
                    </a:stretch>
                  </pic:blipFill>
                  <pic:spPr>
                    <a:xfrm>
                      <a:off x="0" y="0"/>
                      <a:ext cx="1227373" cy="2869399"/>
                    </a:xfrm>
                    <a:prstGeom prst="rect">
                      <a:avLst/>
                    </a:prstGeom>
                  </pic:spPr>
                </pic:pic>
              </a:graphicData>
            </a:graphic>
          </wp:inline>
        </w:drawing>
      </w:r>
      <w:r>
        <w:rPr>
          <w:noProof/>
          <w:snapToGrid/>
          <w:lang w:val="en-US" w:eastAsia="en-US"/>
        </w:rPr>
        <w:drawing>
          <wp:inline distT="0" distB="0" distL="0" distR="0" wp14:anchorId="4738D36F" wp14:editId="6A1426D5">
            <wp:extent cx="1268341" cy="2838827"/>
            <wp:effectExtent l="0" t="0" r="825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RCP-15F Scoliosis PA organs.png"/>
                    <pic:cNvPicPr/>
                  </pic:nvPicPr>
                  <pic:blipFill>
                    <a:blip r:embed="rId163" cstate="email">
                      <a:extLst>
                        <a:ext uri="{28A0092B-C50C-407E-A947-70E740481C1C}">
                          <a14:useLocalDpi xmlns:a14="http://schemas.microsoft.com/office/drawing/2010/main"/>
                        </a:ext>
                      </a:extLst>
                    </a:blip>
                    <a:stretch>
                      <a:fillRect/>
                    </a:stretch>
                  </pic:blipFill>
                  <pic:spPr>
                    <a:xfrm>
                      <a:off x="0" y="0"/>
                      <a:ext cx="1280957" cy="2867065"/>
                    </a:xfrm>
                    <a:prstGeom prst="rect">
                      <a:avLst/>
                    </a:prstGeom>
                  </pic:spPr>
                </pic:pic>
              </a:graphicData>
            </a:graphic>
          </wp:inline>
        </w:drawing>
      </w:r>
    </w:p>
    <w:p w14:paraId="7A99993F" w14:textId="77777777" w:rsidR="00E72CA9" w:rsidRDefault="00D516E3">
      <w:pPr>
        <w:pStyle w:val="Annaddtxt"/>
        <w:tabs>
          <w:tab w:val="clear" w:pos="646"/>
          <w:tab w:val="left" w:pos="851"/>
        </w:tabs>
        <w:spacing w:after="120"/>
        <w:rPr>
          <w:sz w:val="20"/>
        </w:rPr>
      </w:pPr>
      <w:r>
        <w:t xml:space="preserve">                                 </w:t>
      </w:r>
      <w:r>
        <w:rPr>
          <w:sz w:val="20"/>
        </w:rPr>
        <w:t>15-year male                                                         15-year female</w:t>
      </w:r>
    </w:p>
    <w:p w14:paraId="71990364" w14:textId="77777777" w:rsidR="00E72CA9" w:rsidRDefault="00D516E3">
      <w:pPr>
        <w:pStyle w:val="Annaddtxt"/>
        <w:tabs>
          <w:tab w:val="clear" w:pos="646"/>
          <w:tab w:val="left" w:pos="851"/>
        </w:tabs>
        <w:rPr>
          <w:sz w:val="22"/>
          <w:szCs w:val="22"/>
          <w:highlight w:val="yellow"/>
        </w:rPr>
      </w:pPr>
      <w:r>
        <w:rPr>
          <w:sz w:val="22"/>
        </w:rPr>
        <w:t xml:space="preserve">Fig. B.21. Coronal images at the centre of the paediatric reference phantoms showing the anatomical landmarks for scoliosis posterior-anterior </w:t>
      </w:r>
      <w:r>
        <w:rPr>
          <w:sz w:val="22"/>
          <w:szCs w:val="22"/>
        </w:rPr>
        <w:t>examination</w:t>
      </w:r>
      <w:r>
        <w:rPr>
          <w:sz w:val="22"/>
        </w:rPr>
        <w:t xml:space="preserve">. </w:t>
      </w:r>
      <w:r>
        <w:rPr>
          <w:sz w:val="22"/>
          <w:szCs w:val="22"/>
        </w:rPr>
        <w:t xml:space="preserve">For </w:t>
      </w:r>
      <w:r>
        <w:rPr>
          <w:bCs/>
          <w:snapToGrid/>
          <w:sz w:val="22"/>
          <w:szCs w:val="22"/>
          <w:lang w:val="en-US"/>
        </w:rPr>
        <w:t xml:space="preserve">5-year and 10-year old, the images for the male phantoms are shown. For 15-year old, images for the male and female are shown. </w:t>
      </w:r>
      <w:r>
        <w:rPr>
          <w:sz w:val="22"/>
        </w:rPr>
        <w:t>Left to right: the first image shows only the skeletal landmarks and the second image adds the organs of interest.</w:t>
      </w:r>
    </w:p>
    <w:p w14:paraId="1623F6C3" w14:textId="77777777" w:rsidR="00E72CA9" w:rsidRDefault="00E72CA9">
      <w:pPr>
        <w:pStyle w:val="Annaddtxt"/>
        <w:tabs>
          <w:tab w:val="clear" w:pos="646"/>
          <w:tab w:val="left" w:pos="851"/>
        </w:tabs>
        <w:rPr>
          <w:sz w:val="22"/>
        </w:rPr>
      </w:pPr>
    </w:p>
    <w:p w14:paraId="7CBE4BD0" w14:textId="77777777" w:rsidR="00E72CA9" w:rsidRDefault="00D516E3">
      <w:pPr>
        <w:rPr>
          <w:sz w:val="22"/>
          <w:highlight w:val="yellow"/>
        </w:rPr>
      </w:pPr>
      <w:r>
        <w:rPr>
          <w:sz w:val="22"/>
          <w:highlight w:val="yellow"/>
        </w:rPr>
        <w:br w:type="page"/>
      </w:r>
    </w:p>
    <w:p w14:paraId="2B6F5483" w14:textId="77777777" w:rsidR="00E72CA9" w:rsidRDefault="00D516E3">
      <w:pPr>
        <w:pStyle w:val="ICRPannexheading3"/>
        <w:ind w:hanging="1146"/>
      </w:pPr>
      <w:r>
        <w:lastRenderedPageBreak/>
        <w:t xml:space="preserve">Scoliosis lateral (Lat) </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735338FC" w14:textId="77777777">
        <w:tc>
          <w:tcPr>
            <w:tcW w:w="3330" w:type="dxa"/>
            <w:shd w:val="clear" w:color="auto" w:fill="auto"/>
          </w:tcPr>
          <w:p w14:paraId="6909F96F"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3EB2FAFB" w14:textId="77777777" w:rsidR="00E72CA9" w:rsidRDefault="00D516E3">
            <w:pPr>
              <w:pStyle w:val="Annalstext"/>
              <w:tabs>
                <w:tab w:val="clear" w:pos="502"/>
              </w:tabs>
              <w:ind w:left="0" w:firstLine="0"/>
              <w:rPr>
                <w:bCs/>
                <w:snapToGrid/>
                <w:sz w:val="20"/>
                <w:lang w:val="en-US"/>
              </w:rPr>
            </w:pPr>
            <w:r>
              <w:rPr>
                <w:bCs/>
                <w:snapToGrid/>
                <w:sz w:val="20"/>
                <w:lang w:val="en-US"/>
              </w:rPr>
              <w:t>From skull base down to proximal femurs</w:t>
            </w:r>
          </w:p>
        </w:tc>
      </w:tr>
      <w:tr w:rsidR="00E72CA9" w14:paraId="5E014D53" w14:textId="77777777">
        <w:tc>
          <w:tcPr>
            <w:tcW w:w="3330" w:type="dxa"/>
            <w:shd w:val="clear" w:color="auto" w:fill="auto"/>
          </w:tcPr>
          <w:p w14:paraId="5ABE1887"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49BFCBFC" w14:textId="77777777" w:rsidR="00E72CA9" w:rsidRDefault="00D516E3">
            <w:pPr>
              <w:pStyle w:val="Annalstext"/>
              <w:tabs>
                <w:tab w:val="clear" w:pos="502"/>
              </w:tabs>
              <w:ind w:left="0" w:firstLine="0"/>
              <w:rPr>
                <w:bCs/>
                <w:snapToGrid/>
                <w:sz w:val="20"/>
                <w:lang w:val="en-US"/>
              </w:rPr>
            </w:pPr>
            <w:r>
              <w:rPr>
                <w:bCs/>
                <w:snapToGrid/>
                <w:sz w:val="20"/>
                <w:lang w:val="en-US"/>
              </w:rPr>
              <w:t>Should include all skeletal anatomy (without arms)</w:t>
            </w:r>
          </w:p>
        </w:tc>
      </w:tr>
      <w:tr w:rsidR="00E72CA9" w14:paraId="3D33776E" w14:textId="77777777">
        <w:tc>
          <w:tcPr>
            <w:tcW w:w="3330" w:type="dxa"/>
            <w:shd w:val="clear" w:color="auto" w:fill="auto"/>
          </w:tcPr>
          <w:p w14:paraId="73004DA1"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6DAF0994" w14:textId="77777777" w:rsidR="00E72CA9" w:rsidRDefault="00D516E3">
            <w:pPr>
              <w:pStyle w:val="Annalstext"/>
              <w:tabs>
                <w:tab w:val="clear" w:pos="502"/>
              </w:tabs>
              <w:ind w:left="0" w:firstLine="0"/>
              <w:rPr>
                <w:bCs/>
                <w:snapToGrid/>
                <w:sz w:val="20"/>
                <w:lang w:val="en-US"/>
              </w:rPr>
            </w:pPr>
            <w:r>
              <w:rPr>
                <w:bCs/>
                <w:snapToGrid/>
                <w:sz w:val="20"/>
                <w:lang w:val="en-US"/>
              </w:rPr>
              <w:t>110 cm for newborn and 1-year old</w:t>
            </w:r>
          </w:p>
          <w:p w14:paraId="6F0F68C6" w14:textId="77777777" w:rsidR="00E72CA9" w:rsidRDefault="00D516E3">
            <w:pPr>
              <w:pStyle w:val="Annalstext"/>
              <w:tabs>
                <w:tab w:val="clear" w:pos="502"/>
              </w:tabs>
              <w:ind w:left="0" w:firstLine="0"/>
              <w:rPr>
                <w:bCs/>
                <w:snapToGrid/>
                <w:sz w:val="20"/>
                <w:lang w:val="en-US"/>
              </w:rPr>
            </w:pPr>
            <w:r>
              <w:rPr>
                <w:bCs/>
                <w:snapToGrid/>
                <w:sz w:val="20"/>
                <w:lang w:val="en-US"/>
              </w:rPr>
              <w:t>180 cm for 5-year, 10-year and 15-year old</w:t>
            </w:r>
          </w:p>
        </w:tc>
      </w:tr>
      <w:tr w:rsidR="00E72CA9" w14:paraId="0A53433B" w14:textId="77777777">
        <w:tc>
          <w:tcPr>
            <w:tcW w:w="3330" w:type="dxa"/>
            <w:shd w:val="clear" w:color="auto" w:fill="auto"/>
          </w:tcPr>
          <w:p w14:paraId="7A798868"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2372E8A2" w14:textId="77777777" w:rsidR="00E72CA9" w:rsidRDefault="00D516E3">
            <w:pPr>
              <w:pStyle w:val="Annalstext"/>
              <w:tabs>
                <w:tab w:val="clear" w:pos="502"/>
              </w:tabs>
              <w:ind w:left="0" w:firstLine="0"/>
              <w:rPr>
                <w:bCs/>
                <w:snapToGrid/>
                <w:sz w:val="20"/>
                <w:lang w:val="en-US"/>
              </w:rPr>
            </w:pPr>
            <w:r>
              <w:rPr>
                <w:bCs/>
                <w:snapToGrid/>
                <w:sz w:val="20"/>
                <w:lang w:val="en-US"/>
              </w:rPr>
              <w:t xml:space="preserve">10 cm (grid) for all ages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tc>
      </w:tr>
    </w:tbl>
    <w:p w14:paraId="3746E0A3" w14:textId="77777777" w:rsidR="00E72CA9" w:rsidRDefault="00D516E3">
      <w:pPr>
        <w:pStyle w:val="Annaddtxt"/>
        <w:tabs>
          <w:tab w:val="clear" w:pos="646"/>
          <w:tab w:val="left" w:pos="851"/>
        </w:tabs>
        <w:spacing w:before="120"/>
      </w:pPr>
      <w:r>
        <w:rPr>
          <w:noProof/>
          <w:snapToGrid/>
          <w:lang w:val="en-US" w:eastAsia="en-US"/>
        </w:rPr>
        <w:drawing>
          <wp:inline distT="0" distB="0" distL="0" distR="0" wp14:anchorId="2222AD98" wp14:editId="276A6F7F">
            <wp:extent cx="1001694" cy="2340000"/>
            <wp:effectExtent l="0" t="0" r="8255"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RCP-00M Scoliosis LAT.png"/>
                    <pic:cNvPicPr/>
                  </pic:nvPicPr>
                  <pic:blipFill>
                    <a:blip r:embed="rId164" cstate="email">
                      <a:extLst>
                        <a:ext uri="{28A0092B-C50C-407E-A947-70E740481C1C}">
                          <a14:useLocalDpi xmlns:a14="http://schemas.microsoft.com/office/drawing/2010/main"/>
                        </a:ext>
                      </a:extLst>
                    </a:blip>
                    <a:stretch>
                      <a:fillRect/>
                    </a:stretch>
                  </pic:blipFill>
                  <pic:spPr>
                    <a:xfrm>
                      <a:off x="0" y="0"/>
                      <a:ext cx="1001694" cy="2340000"/>
                    </a:xfrm>
                    <a:prstGeom prst="rect">
                      <a:avLst/>
                    </a:prstGeom>
                  </pic:spPr>
                </pic:pic>
              </a:graphicData>
            </a:graphic>
          </wp:inline>
        </w:drawing>
      </w:r>
      <w:r>
        <w:rPr>
          <w:noProof/>
          <w:snapToGrid/>
          <w:lang w:val="en-US" w:eastAsia="en-US"/>
        </w:rPr>
        <w:drawing>
          <wp:inline distT="0" distB="0" distL="0" distR="0" wp14:anchorId="3944155B" wp14:editId="03F42312">
            <wp:extent cx="1003247" cy="2340000"/>
            <wp:effectExtent l="0" t="0" r="6985" b="317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RCP-00M Scoliosis LAT organs.png"/>
                    <pic:cNvPicPr/>
                  </pic:nvPicPr>
                  <pic:blipFill>
                    <a:blip r:embed="rId165" cstate="email">
                      <a:extLst>
                        <a:ext uri="{28A0092B-C50C-407E-A947-70E740481C1C}">
                          <a14:useLocalDpi xmlns:a14="http://schemas.microsoft.com/office/drawing/2010/main"/>
                        </a:ext>
                      </a:extLst>
                    </a:blip>
                    <a:stretch>
                      <a:fillRect/>
                    </a:stretch>
                  </pic:blipFill>
                  <pic:spPr>
                    <a:xfrm>
                      <a:off x="0" y="0"/>
                      <a:ext cx="1003247" cy="2340000"/>
                    </a:xfrm>
                    <a:prstGeom prst="rect">
                      <a:avLst/>
                    </a:prstGeom>
                  </pic:spPr>
                </pic:pic>
              </a:graphicData>
            </a:graphic>
          </wp:inline>
        </w:drawing>
      </w:r>
      <w:r>
        <w:rPr>
          <w:noProof/>
          <w:snapToGrid/>
          <w:lang w:val="en-US" w:eastAsia="en-US"/>
        </w:rPr>
        <w:drawing>
          <wp:inline distT="0" distB="0" distL="0" distR="0" wp14:anchorId="47F2294E" wp14:editId="30275EEB">
            <wp:extent cx="924460" cy="2412000"/>
            <wp:effectExtent l="0" t="0" r="9525"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RCP-01M Scoliosis LAT.png"/>
                    <pic:cNvPicPr/>
                  </pic:nvPicPr>
                  <pic:blipFill>
                    <a:blip r:embed="rId166" cstate="email">
                      <a:extLst>
                        <a:ext uri="{28A0092B-C50C-407E-A947-70E740481C1C}">
                          <a14:useLocalDpi xmlns:a14="http://schemas.microsoft.com/office/drawing/2010/main"/>
                        </a:ext>
                      </a:extLst>
                    </a:blip>
                    <a:stretch>
                      <a:fillRect/>
                    </a:stretch>
                  </pic:blipFill>
                  <pic:spPr>
                    <a:xfrm>
                      <a:off x="0" y="0"/>
                      <a:ext cx="924460" cy="2412000"/>
                    </a:xfrm>
                    <a:prstGeom prst="rect">
                      <a:avLst/>
                    </a:prstGeom>
                  </pic:spPr>
                </pic:pic>
              </a:graphicData>
            </a:graphic>
          </wp:inline>
        </w:drawing>
      </w:r>
      <w:r>
        <w:rPr>
          <w:noProof/>
          <w:snapToGrid/>
          <w:lang w:val="en-US" w:eastAsia="en-US"/>
        </w:rPr>
        <w:drawing>
          <wp:inline distT="0" distB="0" distL="0" distR="0" wp14:anchorId="71711F15" wp14:editId="1BC24DEF">
            <wp:extent cx="878878" cy="2412000"/>
            <wp:effectExtent l="0" t="0" r="0" b="762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RCP-01M Scoliosis LAT organs.png"/>
                    <pic:cNvPicPr/>
                  </pic:nvPicPr>
                  <pic:blipFill>
                    <a:blip r:embed="rId167" cstate="email">
                      <a:extLst>
                        <a:ext uri="{28A0092B-C50C-407E-A947-70E740481C1C}">
                          <a14:useLocalDpi xmlns:a14="http://schemas.microsoft.com/office/drawing/2010/main"/>
                        </a:ext>
                      </a:extLst>
                    </a:blip>
                    <a:stretch>
                      <a:fillRect/>
                    </a:stretch>
                  </pic:blipFill>
                  <pic:spPr>
                    <a:xfrm>
                      <a:off x="0" y="0"/>
                      <a:ext cx="878878" cy="2412000"/>
                    </a:xfrm>
                    <a:prstGeom prst="rect">
                      <a:avLst/>
                    </a:prstGeom>
                  </pic:spPr>
                </pic:pic>
              </a:graphicData>
            </a:graphic>
          </wp:inline>
        </w:drawing>
      </w:r>
      <w:r>
        <w:rPr>
          <w:noProof/>
          <w:snapToGrid/>
          <w:lang w:val="en-US" w:eastAsia="en-US"/>
        </w:rPr>
        <w:drawing>
          <wp:inline distT="0" distB="0" distL="0" distR="0" wp14:anchorId="0834937C" wp14:editId="640A9E5D">
            <wp:extent cx="940909" cy="2484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RCP-05M Scoliosis LAT.png"/>
                    <pic:cNvPicPr/>
                  </pic:nvPicPr>
                  <pic:blipFill>
                    <a:blip r:embed="rId168" cstate="email">
                      <a:extLst>
                        <a:ext uri="{28A0092B-C50C-407E-A947-70E740481C1C}">
                          <a14:useLocalDpi xmlns:a14="http://schemas.microsoft.com/office/drawing/2010/main"/>
                        </a:ext>
                      </a:extLst>
                    </a:blip>
                    <a:stretch>
                      <a:fillRect/>
                    </a:stretch>
                  </pic:blipFill>
                  <pic:spPr>
                    <a:xfrm>
                      <a:off x="0" y="0"/>
                      <a:ext cx="940909" cy="2484000"/>
                    </a:xfrm>
                    <a:prstGeom prst="rect">
                      <a:avLst/>
                    </a:prstGeom>
                  </pic:spPr>
                </pic:pic>
              </a:graphicData>
            </a:graphic>
          </wp:inline>
        </w:drawing>
      </w:r>
      <w:r>
        <w:rPr>
          <w:noProof/>
          <w:snapToGrid/>
          <w:lang w:val="en-US" w:eastAsia="en-US"/>
        </w:rPr>
        <w:drawing>
          <wp:inline distT="0" distB="0" distL="0" distR="0" wp14:anchorId="066A36F9" wp14:editId="33CB9220">
            <wp:extent cx="936923" cy="24840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RCP-05M Scoliosis LAT organs.png"/>
                    <pic:cNvPicPr/>
                  </pic:nvPicPr>
                  <pic:blipFill>
                    <a:blip r:embed="rId169" cstate="email">
                      <a:extLst>
                        <a:ext uri="{28A0092B-C50C-407E-A947-70E740481C1C}">
                          <a14:useLocalDpi xmlns:a14="http://schemas.microsoft.com/office/drawing/2010/main"/>
                        </a:ext>
                      </a:extLst>
                    </a:blip>
                    <a:stretch>
                      <a:fillRect/>
                    </a:stretch>
                  </pic:blipFill>
                  <pic:spPr>
                    <a:xfrm>
                      <a:off x="0" y="0"/>
                      <a:ext cx="936923" cy="2484000"/>
                    </a:xfrm>
                    <a:prstGeom prst="rect">
                      <a:avLst/>
                    </a:prstGeom>
                  </pic:spPr>
                </pic:pic>
              </a:graphicData>
            </a:graphic>
          </wp:inline>
        </w:drawing>
      </w:r>
    </w:p>
    <w:p w14:paraId="35249B84" w14:textId="77777777" w:rsidR="00E72CA9" w:rsidRDefault="00D516E3">
      <w:pPr>
        <w:pStyle w:val="Annaddtxt"/>
        <w:tabs>
          <w:tab w:val="clear" w:pos="646"/>
          <w:tab w:val="left" w:pos="851"/>
        </w:tabs>
        <w:rPr>
          <w:sz w:val="20"/>
        </w:rPr>
      </w:pPr>
      <w:r>
        <w:rPr>
          <w:sz w:val="20"/>
        </w:rPr>
        <w:t xml:space="preserve">                       newborn                                              1-year old                                        5-year old            </w:t>
      </w:r>
    </w:p>
    <w:p w14:paraId="586EE9AC" w14:textId="77777777" w:rsidR="00E72CA9" w:rsidRDefault="00D516E3">
      <w:pPr>
        <w:pStyle w:val="Annaddtxt"/>
        <w:tabs>
          <w:tab w:val="clear" w:pos="646"/>
          <w:tab w:val="left" w:pos="851"/>
        </w:tabs>
        <w:spacing w:before="120"/>
      </w:pPr>
      <w:r>
        <w:rPr>
          <w:noProof/>
          <w:snapToGrid/>
          <w:lang w:val="en-US" w:eastAsia="en-US"/>
        </w:rPr>
        <w:drawing>
          <wp:inline distT="0" distB="0" distL="0" distR="0" wp14:anchorId="23B19AC9" wp14:editId="6F8BDD98">
            <wp:extent cx="932399" cy="2844000"/>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RCP-10M Scoliosis LAT.png"/>
                    <pic:cNvPicPr/>
                  </pic:nvPicPr>
                  <pic:blipFill>
                    <a:blip r:embed="rId170" cstate="email">
                      <a:extLst>
                        <a:ext uri="{28A0092B-C50C-407E-A947-70E740481C1C}">
                          <a14:useLocalDpi xmlns:a14="http://schemas.microsoft.com/office/drawing/2010/main"/>
                        </a:ext>
                      </a:extLst>
                    </a:blip>
                    <a:stretch>
                      <a:fillRect/>
                    </a:stretch>
                  </pic:blipFill>
                  <pic:spPr>
                    <a:xfrm>
                      <a:off x="0" y="0"/>
                      <a:ext cx="932399" cy="2844000"/>
                    </a:xfrm>
                    <a:prstGeom prst="rect">
                      <a:avLst/>
                    </a:prstGeom>
                  </pic:spPr>
                </pic:pic>
              </a:graphicData>
            </a:graphic>
          </wp:inline>
        </w:drawing>
      </w:r>
      <w:r>
        <w:rPr>
          <w:noProof/>
          <w:snapToGrid/>
          <w:lang w:val="en-US" w:eastAsia="en-US"/>
        </w:rPr>
        <w:drawing>
          <wp:inline distT="0" distB="0" distL="0" distR="0" wp14:anchorId="63C1027C" wp14:editId="7E892908">
            <wp:extent cx="939727" cy="28440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RCP-10M Scoliosis LAT organs.png"/>
                    <pic:cNvPicPr/>
                  </pic:nvPicPr>
                  <pic:blipFill>
                    <a:blip r:embed="rId171" cstate="email">
                      <a:extLst>
                        <a:ext uri="{28A0092B-C50C-407E-A947-70E740481C1C}">
                          <a14:useLocalDpi xmlns:a14="http://schemas.microsoft.com/office/drawing/2010/main"/>
                        </a:ext>
                      </a:extLst>
                    </a:blip>
                    <a:stretch>
                      <a:fillRect/>
                    </a:stretch>
                  </pic:blipFill>
                  <pic:spPr>
                    <a:xfrm>
                      <a:off x="0" y="0"/>
                      <a:ext cx="939727" cy="2844000"/>
                    </a:xfrm>
                    <a:prstGeom prst="rect">
                      <a:avLst/>
                    </a:prstGeom>
                  </pic:spPr>
                </pic:pic>
              </a:graphicData>
            </a:graphic>
          </wp:inline>
        </w:drawing>
      </w:r>
      <w:r>
        <w:rPr>
          <w:noProof/>
          <w:snapToGrid/>
          <w:lang w:val="en-US" w:eastAsia="en-US"/>
        </w:rPr>
        <w:drawing>
          <wp:inline distT="0" distB="0" distL="0" distR="0" wp14:anchorId="6EF81DE0" wp14:editId="3F9F11E3">
            <wp:extent cx="967872" cy="2844000"/>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RCP-15M Scoliosis LAT.png"/>
                    <pic:cNvPicPr/>
                  </pic:nvPicPr>
                  <pic:blipFill>
                    <a:blip r:embed="rId172" cstate="email">
                      <a:extLst>
                        <a:ext uri="{28A0092B-C50C-407E-A947-70E740481C1C}">
                          <a14:useLocalDpi xmlns:a14="http://schemas.microsoft.com/office/drawing/2010/main"/>
                        </a:ext>
                      </a:extLst>
                    </a:blip>
                    <a:stretch>
                      <a:fillRect/>
                    </a:stretch>
                  </pic:blipFill>
                  <pic:spPr>
                    <a:xfrm>
                      <a:off x="0" y="0"/>
                      <a:ext cx="967872" cy="2844000"/>
                    </a:xfrm>
                    <a:prstGeom prst="rect">
                      <a:avLst/>
                    </a:prstGeom>
                  </pic:spPr>
                </pic:pic>
              </a:graphicData>
            </a:graphic>
          </wp:inline>
        </w:drawing>
      </w:r>
      <w:r>
        <w:rPr>
          <w:noProof/>
          <w:snapToGrid/>
          <w:lang w:val="en-US" w:eastAsia="en-US"/>
        </w:rPr>
        <w:drawing>
          <wp:inline distT="0" distB="0" distL="0" distR="0" wp14:anchorId="547E0083" wp14:editId="00E693A3">
            <wp:extent cx="888966" cy="2844000"/>
            <wp:effectExtent l="0" t="0" r="698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RCP-15M Scoliosis LAT organs.png"/>
                    <pic:cNvPicPr/>
                  </pic:nvPicPr>
                  <pic:blipFill>
                    <a:blip r:embed="rId173" cstate="email">
                      <a:extLst>
                        <a:ext uri="{28A0092B-C50C-407E-A947-70E740481C1C}">
                          <a14:useLocalDpi xmlns:a14="http://schemas.microsoft.com/office/drawing/2010/main"/>
                        </a:ext>
                      </a:extLst>
                    </a:blip>
                    <a:stretch>
                      <a:fillRect/>
                    </a:stretch>
                  </pic:blipFill>
                  <pic:spPr>
                    <a:xfrm>
                      <a:off x="0" y="0"/>
                      <a:ext cx="888966" cy="2844000"/>
                    </a:xfrm>
                    <a:prstGeom prst="rect">
                      <a:avLst/>
                    </a:prstGeom>
                  </pic:spPr>
                </pic:pic>
              </a:graphicData>
            </a:graphic>
          </wp:inline>
        </w:drawing>
      </w:r>
      <w:r>
        <w:rPr>
          <w:noProof/>
          <w:snapToGrid/>
          <w:lang w:val="en-US" w:eastAsia="en-US"/>
        </w:rPr>
        <w:drawing>
          <wp:inline distT="0" distB="0" distL="0" distR="0" wp14:anchorId="28BA72DD" wp14:editId="13D546EE">
            <wp:extent cx="1024379" cy="2844000"/>
            <wp:effectExtent l="0" t="0" r="444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RCP-15F Scoliosis LAT.png"/>
                    <pic:cNvPicPr/>
                  </pic:nvPicPr>
                  <pic:blipFill>
                    <a:blip r:embed="rId174" cstate="email">
                      <a:extLst>
                        <a:ext uri="{28A0092B-C50C-407E-A947-70E740481C1C}">
                          <a14:useLocalDpi xmlns:a14="http://schemas.microsoft.com/office/drawing/2010/main"/>
                        </a:ext>
                      </a:extLst>
                    </a:blip>
                    <a:stretch>
                      <a:fillRect/>
                    </a:stretch>
                  </pic:blipFill>
                  <pic:spPr>
                    <a:xfrm>
                      <a:off x="0" y="0"/>
                      <a:ext cx="1024379" cy="2844000"/>
                    </a:xfrm>
                    <a:prstGeom prst="rect">
                      <a:avLst/>
                    </a:prstGeom>
                  </pic:spPr>
                </pic:pic>
              </a:graphicData>
            </a:graphic>
          </wp:inline>
        </w:drawing>
      </w:r>
      <w:r>
        <w:rPr>
          <w:noProof/>
          <w:snapToGrid/>
          <w:lang w:val="en-US" w:eastAsia="en-US"/>
        </w:rPr>
        <w:drawing>
          <wp:inline distT="0" distB="0" distL="0" distR="0" wp14:anchorId="780ED1BE" wp14:editId="6B914DD6">
            <wp:extent cx="913788" cy="2844000"/>
            <wp:effectExtent l="0" t="0" r="63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RCP-15F Scoliosis LAT organs.png"/>
                    <pic:cNvPicPr/>
                  </pic:nvPicPr>
                  <pic:blipFill>
                    <a:blip r:embed="rId175" cstate="email">
                      <a:extLst>
                        <a:ext uri="{28A0092B-C50C-407E-A947-70E740481C1C}">
                          <a14:useLocalDpi xmlns:a14="http://schemas.microsoft.com/office/drawing/2010/main"/>
                        </a:ext>
                      </a:extLst>
                    </a:blip>
                    <a:stretch>
                      <a:fillRect/>
                    </a:stretch>
                  </pic:blipFill>
                  <pic:spPr>
                    <a:xfrm>
                      <a:off x="0" y="0"/>
                      <a:ext cx="913788" cy="2844000"/>
                    </a:xfrm>
                    <a:prstGeom prst="rect">
                      <a:avLst/>
                    </a:prstGeom>
                  </pic:spPr>
                </pic:pic>
              </a:graphicData>
            </a:graphic>
          </wp:inline>
        </w:drawing>
      </w:r>
    </w:p>
    <w:p w14:paraId="320759B4" w14:textId="77777777" w:rsidR="00E72CA9" w:rsidRDefault="00D516E3">
      <w:pPr>
        <w:pStyle w:val="Annaddtxt"/>
        <w:tabs>
          <w:tab w:val="clear" w:pos="646"/>
          <w:tab w:val="left" w:pos="851"/>
        </w:tabs>
        <w:spacing w:after="120"/>
        <w:rPr>
          <w:sz w:val="20"/>
        </w:rPr>
      </w:pPr>
      <w:r>
        <w:t xml:space="preserve">               10</w:t>
      </w:r>
      <w:r>
        <w:rPr>
          <w:sz w:val="20"/>
        </w:rPr>
        <w:t>-year old                                      15-year male                                        15-year female</w:t>
      </w:r>
    </w:p>
    <w:p w14:paraId="5F092FA5" w14:textId="77777777" w:rsidR="00E72CA9" w:rsidRDefault="00D516E3">
      <w:pPr>
        <w:pStyle w:val="Annaddtxt"/>
        <w:tabs>
          <w:tab w:val="clear" w:pos="646"/>
          <w:tab w:val="left" w:pos="851"/>
        </w:tabs>
        <w:rPr>
          <w:sz w:val="22"/>
          <w:szCs w:val="22"/>
          <w:highlight w:val="yellow"/>
        </w:rPr>
      </w:pPr>
      <w:r>
        <w:rPr>
          <w:sz w:val="22"/>
        </w:rPr>
        <w:t xml:space="preserve">Fig. B.22. </w:t>
      </w:r>
      <w:proofErr w:type="spellStart"/>
      <w:r>
        <w:rPr>
          <w:sz w:val="22"/>
        </w:rPr>
        <w:t>Sagital</w:t>
      </w:r>
      <w:proofErr w:type="spellEnd"/>
      <w:r>
        <w:rPr>
          <w:sz w:val="22"/>
        </w:rPr>
        <w:t xml:space="preserve"> images at the centre of the paediatric reference phantoms showing the anatomical landmarks for </w:t>
      </w:r>
      <w:r>
        <w:rPr>
          <w:sz w:val="22"/>
          <w:szCs w:val="22"/>
        </w:rPr>
        <w:t>scoliosis lateral examination</w:t>
      </w:r>
      <w:r>
        <w:rPr>
          <w:sz w:val="22"/>
        </w:rPr>
        <w:t xml:space="preserve">. </w:t>
      </w:r>
      <w:r>
        <w:rPr>
          <w:sz w:val="22"/>
          <w:szCs w:val="22"/>
        </w:rPr>
        <w:t xml:space="preserve">For </w:t>
      </w:r>
      <w:r>
        <w:rPr>
          <w:bCs/>
          <w:snapToGrid/>
          <w:sz w:val="22"/>
          <w:szCs w:val="22"/>
          <w:lang w:val="en-US"/>
        </w:rPr>
        <w:t xml:space="preserve">newborn, 1-year, 5-year and 10-year old, the images for the male phantoms are shown. For 15-year old, images for the male and female are shown. </w:t>
      </w:r>
      <w:r>
        <w:rPr>
          <w:sz w:val="22"/>
        </w:rPr>
        <w:t>Left to right: the first image shows only the skeletal landmarks and the second image adds the organs of interest.</w:t>
      </w:r>
      <w:r>
        <w:rPr>
          <w:sz w:val="22"/>
          <w:szCs w:val="22"/>
          <w:highlight w:val="yellow"/>
        </w:rPr>
        <w:br w:type="page"/>
      </w:r>
    </w:p>
    <w:p w14:paraId="7E75C44C" w14:textId="77777777" w:rsidR="00E72CA9" w:rsidRDefault="00D516E3">
      <w:pPr>
        <w:pStyle w:val="ICRPannexheading3"/>
        <w:ind w:hanging="1146"/>
      </w:pPr>
      <w:r>
        <w:lastRenderedPageBreak/>
        <w:t>Skull anterior-posterior (AP)</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23112D66" w14:textId="77777777">
        <w:tc>
          <w:tcPr>
            <w:tcW w:w="3330" w:type="dxa"/>
            <w:shd w:val="clear" w:color="auto" w:fill="auto"/>
          </w:tcPr>
          <w:p w14:paraId="06F8A561"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0BED20D4" w14:textId="77777777" w:rsidR="00E72CA9" w:rsidRDefault="00D516E3">
            <w:pPr>
              <w:pStyle w:val="Annalstext"/>
              <w:tabs>
                <w:tab w:val="clear" w:pos="502"/>
              </w:tabs>
              <w:ind w:left="0" w:firstLine="0"/>
              <w:rPr>
                <w:bCs/>
                <w:snapToGrid/>
                <w:sz w:val="20"/>
                <w:lang w:val="en-US"/>
              </w:rPr>
            </w:pPr>
            <w:r>
              <w:rPr>
                <w:bCs/>
                <w:snapToGrid/>
                <w:sz w:val="20"/>
                <w:lang w:val="en-US"/>
              </w:rPr>
              <w:t>Includes all skull and mandible, for newborn and 1-year old also cervical spine</w:t>
            </w:r>
          </w:p>
        </w:tc>
      </w:tr>
      <w:tr w:rsidR="00E72CA9" w14:paraId="10AA8EA3" w14:textId="77777777">
        <w:tc>
          <w:tcPr>
            <w:tcW w:w="3330" w:type="dxa"/>
            <w:shd w:val="clear" w:color="auto" w:fill="auto"/>
          </w:tcPr>
          <w:p w14:paraId="6507675D"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6815354C" w14:textId="77777777" w:rsidR="00E72CA9" w:rsidRDefault="00D516E3">
            <w:pPr>
              <w:pStyle w:val="Annalstext"/>
              <w:tabs>
                <w:tab w:val="clear" w:pos="502"/>
              </w:tabs>
              <w:ind w:left="0" w:firstLine="0"/>
              <w:rPr>
                <w:bCs/>
                <w:snapToGrid/>
                <w:sz w:val="20"/>
                <w:lang w:val="en-US"/>
              </w:rPr>
            </w:pPr>
            <w:r>
              <w:rPr>
                <w:bCs/>
                <w:snapToGrid/>
                <w:sz w:val="20"/>
                <w:lang w:val="en-US"/>
              </w:rPr>
              <w:t>Should include all skull and mandible</w:t>
            </w:r>
          </w:p>
        </w:tc>
      </w:tr>
      <w:tr w:rsidR="00E72CA9" w14:paraId="417837B8" w14:textId="77777777">
        <w:tc>
          <w:tcPr>
            <w:tcW w:w="3330" w:type="dxa"/>
            <w:shd w:val="clear" w:color="auto" w:fill="auto"/>
          </w:tcPr>
          <w:p w14:paraId="7A2EB783"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6D43148C" w14:textId="77777777" w:rsidR="00E72CA9" w:rsidRDefault="00D516E3">
            <w:pPr>
              <w:pStyle w:val="Annalstext"/>
              <w:tabs>
                <w:tab w:val="clear" w:pos="502"/>
              </w:tabs>
              <w:ind w:left="0" w:firstLine="0"/>
              <w:rPr>
                <w:bCs/>
                <w:snapToGrid/>
                <w:sz w:val="20"/>
                <w:lang w:val="en-US"/>
              </w:rPr>
            </w:pPr>
            <w:r>
              <w:rPr>
                <w:bCs/>
                <w:snapToGrid/>
                <w:sz w:val="20"/>
                <w:lang w:val="en-US"/>
              </w:rPr>
              <w:t xml:space="preserve">110 cm </w:t>
            </w:r>
          </w:p>
        </w:tc>
      </w:tr>
      <w:tr w:rsidR="00E72CA9" w14:paraId="740AACEE" w14:textId="77777777">
        <w:tc>
          <w:tcPr>
            <w:tcW w:w="3330" w:type="dxa"/>
            <w:shd w:val="clear" w:color="auto" w:fill="auto"/>
          </w:tcPr>
          <w:p w14:paraId="3BFE673C"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29CB3706" w14:textId="77777777" w:rsidR="00E72CA9" w:rsidRDefault="00D516E3">
            <w:pPr>
              <w:pStyle w:val="Annalstext"/>
              <w:tabs>
                <w:tab w:val="clear" w:pos="502"/>
              </w:tabs>
              <w:ind w:left="0" w:firstLine="0"/>
              <w:rPr>
                <w:bCs/>
                <w:snapToGrid/>
                <w:sz w:val="20"/>
                <w:lang w:val="en-US"/>
              </w:rPr>
            </w:pPr>
            <w:r>
              <w:rPr>
                <w:bCs/>
                <w:snapToGrid/>
                <w:sz w:val="20"/>
                <w:lang w:val="en-US"/>
              </w:rPr>
              <w:t xml:space="preserve">10 cm (grid) for all ages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tc>
      </w:tr>
    </w:tbl>
    <w:p w14:paraId="589918CD" w14:textId="77777777" w:rsidR="00E72CA9" w:rsidRDefault="00D516E3">
      <w:pPr>
        <w:pStyle w:val="Annaddtxt"/>
        <w:tabs>
          <w:tab w:val="clear" w:pos="646"/>
          <w:tab w:val="left" w:pos="851"/>
        </w:tabs>
        <w:jc w:val="center"/>
        <w:rPr>
          <w:noProof/>
          <w:snapToGrid/>
          <w:lang w:val="en-US" w:eastAsia="en-US"/>
        </w:rPr>
      </w:pPr>
      <w:r>
        <w:rPr>
          <w:noProof/>
          <w:snapToGrid/>
          <w:lang w:val="en-US" w:eastAsia="en-US"/>
        </w:rPr>
        <w:drawing>
          <wp:inline distT="0" distB="0" distL="0" distR="0" wp14:anchorId="4063EAE0" wp14:editId="54366F03">
            <wp:extent cx="1236477" cy="2340000"/>
            <wp:effectExtent l="0" t="0" r="1905"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RCP-00M Skull AP.png"/>
                    <pic:cNvPicPr/>
                  </pic:nvPicPr>
                  <pic:blipFill>
                    <a:blip r:embed="rId176" cstate="email">
                      <a:extLst>
                        <a:ext uri="{28A0092B-C50C-407E-A947-70E740481C1C}">
                          <a14:useLocalDpi xmlns:a14="http://schemas.microsoft.com/office/drawing/2010/main"/>
                        </a:ext>
                      </a:extLst>
                    </a:blip>
                    <a:stretch>
                      <a:fillRect/>
                    </a:stretch>
                  </pic:blipFill>
                  <pic:spPr>
                    <a:xfrm>
                      <a:off x="0" y="0"/>
                      <a:ext cx="1236477" cy="2340000"/>
                    </a:xfrm>
                    <a:prstGeom prst="rect">
                      <a:avLst/>
                    </a:prstGeom>
                  </pic:spPr>
                </pic:pic>
              </a:graphicData>
            </a:graphic>
          </wp:inline>
        </w:drawing>
      </w:r>
      <w:r>
        <w:rPr>
          <w:noProof/>
          <w:snapToGrid/>
          <w:lang w:val="en-US" w:eastAsia="en-US"/>
        </w:rPr>
        <w:drawing>
          <wp:inline distT="0" distB="0" distL="0" distR="0" wp14:anchorId="474DA58C" wp14:editId="08D4D570">
            <wp:extent cx="1227365" cy="2340000"/>
            <wp:effectExtent l="0" t="0" r="0" b="317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RCP-00M Skull AP organs.png"/>
                    <pic:cNvPicPr/>
                  </pic:nvPicPr>
                  <pic:blipFill>
                    <a:blip r:embed="rId177" cstate="email">
                      <a:extLst>
                        <a:ext uri="{28A0092B-C50C-407E-A947-70E740481C1C}">
                          <a14:useLocalDpi xmlns:a14="http://schemas.microsoft.com/office/drawing/2010/main"/>
                        </a:ext>
                      </a:extLst>
                    </a:blip>
                    <a:stretch>
                      <a:fillRect/>
                    </a:stretch>
                  </pic:blipFill>
                  <pic:spPr>
                    <a:xfrm>
                      <a:off x="0" y="0"/>
                      <a:ext cx="1227365" cy="2340000"/>
                    </a:xfrm>
                    <a:prstGeom prst="rect">
                      <a:avLst/>
                    </a:prstGeom>
                  </pic:spPr>
                </pic:pic>
              </a:graphicData>
            </a:graphic>
          </wp:inline>
        </w:drawing>
      </w:r>
      <w:r>
        <w:rPr>
          <w:noProof/>
          <w:snapToGrid/>
          <w:lang w:val="en-US" w:eastAsia="en-US"/>
        </w:rPr>
        <w:drawing>
          <wp:inline distT="0" distB="0" distL="0" distR="0" wp14:anchorId="680CDA8A" wp14:editId="5028CA75">
            <wp:extent cx="1037285" cy="2340000"/>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RCP-01M Skull AP.png"/>
                    <pic:cNvPicPr/>
                  </pic:nvPicPr>
                  <pic:blipFill>
                    <a:blip r:embed="rId178" cstate="email">
                      <a:extLst>
                        <a:ext uri="{28A0092B-C50C-407E-A947-70E740481C1C}">
                          <a14:useLocalDpi xmlns:a14="http://schemas.microsoft.com/office/drawing/2010/main"/>
                        </a:ext>
                      </a:extLst>
                    </a:blip>
                    <a:stretch>
                      <a:fillRect/>
                    </a:stretch>
                  </pic:blipFill>
                  <pic:spPr>
                    <a:xfrm>
                      <a:off x="0" y="0"/>
                      <a:ext cx="1037285" cy="2340000"/>
                    </a:xfrm>
                    <a:prstGeom prst="rect">
                      <a:avLst/>
                    </a:prstGeom>
                  </pic:spPr>
                </pic:pic>
              </a:graphicData>
            </a:graphic>
          </wp:inline>
        </w:drawing>
      </w:r>
      <w:r>
        <w:rPr>
          <w:noProof/>
          <w:snapToGrid/>
          <w:lang w:val="en-US" w:eastAsia="en-US"/>
        </w:rPr>
        <w:drawing>
          <wp:inline distT="0" distB="0" distL="0" distR="0" wp14:anchorId="47EBBAAD" wp14:editId="39656653">
            <wp:extent cx="1136770" cy="2340000"/>
            <wp:effectExtent l="0" t="0" r="6350" b="317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RCP-01M Skull AP organs.png"/>
                    <pic:cNvPicPr/>
                  </pic:nvPicPr>
                  <pic:blipFill>
                    <a:blip r:embed="rId179" cstate="email">
                      <a:extLst>
                        <a:ext uri="{28A0092B-C50C-407E-A947-70E740481C1C}">
                          <a14:useLocalDpi xmlns:a14="http://schemas.microsoft.com/office/drawing/2010/main"/>
                        </a:ext>
                      </a:extLst>
                    </a:blip>
                    <a:stretch>
                      <a:fillRect/>
                    </a:stretch>
                  </pic:blipFill>
                  <pic:spPr>
                    <a:xfrm>
                      <a:off x="0" y="0"/>
                      <a:ext cx="1136770" cy="2340000"/>
                    </a:xfrm>
                    <a:prstGeom prst="rect">
                      <a:avLst/>
                    </a:prstGeom>
                  </pic:spPr>
                </pic:pic>
              </a:graphicData>
            </a:graphic>
          </wp:inline>
        </w:drawing>
      </w:r>
    </w:p>
    <w:p w14:paraId="04595182" w14:textId="77777777" w:rsidR="00E72CA9" w:rsidRDefault="00D516E3">
      <w:pPr>
        <w:pStyle w:val="Annaddtxt"/>
        <w:tabs>
          <w:tab w:val="clear" w:pos="646"/>
          <w:tab w:val="left" w:pos="851"/>
        </w:tabs>
        <w:rPr>
          <w:sz w:val="20"/>
        </w:rPr>
      </w:pPr>
      <w:r>
        <w:t xml:space="preserve">                                         </w:t>
      </w:r>
      <w:r>
        <w:rPr>
          <w:sz w:val="20"/>
        </w:rPr>
        <w:t xml:space="preserve">newborn                                                         1-year old  </w:t>
      </w:r>
    </w:p>
    <w:p w14:paraId="7198A451" w14:textId="77777777" w:rsidR="00E72CA9" w:rsidRDefault="00D516E3">
      <w:pPr>
        <w:pStyle w:val="Annaddtxt"/>
        <w:tabs>
          <w:tab w:val="clear" w:pos="646"/>
          <w:tab w:val="left" w:pos="851"/>
        </w:tabs>
      </w:pPr>
      <w:r>
        <w:rPr>
          <w:noProof/>
          <w:snapToGrid/>
          <w:lang w:val="en-US" w:eastAsia="en-US"/>
        </w:rPr>
        <w:drawing>
          <wp:inline distT="0" distB="0" distL="0" distR="0" wp14:anchorId="02135213" wp14:editId="3A40672A">
            <wp:extent cx="1250475" cy="2052000"/>
            <wp:effectExtent l="0" t="0" r="6985" b="571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RCP-05M Skull AP.png"/>
                    <pic:cNvPicPr/>
                  </pic:nvPicPr>
                  <pic:blipFill>
                    <a:blip r:embed="rId180" cstate="email">
                      <a:extLst>
                        <a:ext uri="{28A0092B-C50C-407E-A947-70E740481C1C}">
                          <a14:useLocalDpi xmlns:a14="http://schemas.microsoft.com/office/drawing/2010/main"/>
                        </a:ext>
                      </a:extLst>
                    </a:blip>
                    <a:stretch>
                      <a:fillRect/>
                    </a:stretch>
                  </pic:blipFill>
                  <pic:spPr>
                    <a:xfrm>
                      <a:off x="0" y="0"/>
                      <a:ext cx="1250475" cy="2052000"/>
                    </a:xfrm>
                    <a:prstGeom prst="rect">
                      <a:avLst/>
                    </a:prstGeom>
                  </pic:spPr>
                </pic:pic>
              </a:graphicData>
            </a:graphic>
          </wp:inline>
        </w:drawing>
      </w:r>
      <w:r>
        <w:rPr>
          <w:noProof/>
          <w:snapToGrid/>
          <w:lang w:val="en-US" w:eastAsia="en-US"/>
        </w:rPr>
        <w:drawing>
          <wp:inline distT="0" distB="0" distL="0" distR="0" wp14:anchorId="53C27BF1" wp14:editId="6719BA8B">
            <wp:extent cx="1210938" cy="2052000"/>
            <wp:effectExtent l="0" t="0" r="8890" b="571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RCP-05M Skull AP organs.png"/>
                    <pic:cNvPicPr/>
                  </pic:nvPicPr>
                  <pic:blipFill>
                    <a:blip r:embed="rId181" cstate="email">
                      <a:extLst>
                        <a:ext uri="{28A0092B-C50C-407E-A947-70E740481C1C}">
                          <a14:useLocalDpi xmlns:a14="http://schemas.microsoft.com/office/drawing/2010/main"/>
                        </a:ext>
                      </a:extLst>
                    </a:blip>
                    <a:stretch>
                      <a:fillRect/>
                    </a:stretch>
                  </pic:blipFill>
                  <pic:spPr>
                    <a:xfrm>
                      <a:off x="0" y="0"/>
                      <a:ext cx="1210938" cy="2052000"/>
                    </a:xfrm>
                    <a:prstGeom prst="rect">
                      <a:avLst/>
                    </a:prstGeom>
                  </pic:spPr>
                </pic:pic>
              </a:graphicData>
            </a:graphic>
          </wp:inline>
        </w:drawing>
      </w:r>
      <w:r>
        <w:rPr>
          <w:noProof/>
          <w:snapToGrid/>
          <w:lang w:val="en-US" w:eastAsia="en-US"/>
        </w:rPr>
        <w:drawing>
          <wp:inline distT="0" distB="0" distL="0" distR="0" wp14:anchorId="61165936" wp14:editId="316949FB">
            <wp:extent cx="1470561" cy="2052000"/>
            <wp:effectExtent l="0" t="0" r="0"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RCP-10M Skull AP.png"/>
                    <pic:cNvPicPr/>
                  </pic:nvPicPr>
                  <pic:blipFill>
                    <a:blip r:embed="rId182" cstate="email">
                      <a:extLst>
                        <a:ext uri="{28A0092B-C50C-407E-A947-70E740481C1C}">
                          <a14:useLocalDpi xmlns:a14="http://schemas.microsoft.com/office/drawing/2010/main"/>
                        </a:ext>
                      </a:extLst>
                    </a:blip>
                    <a:stretch>
                      <a:fillRect/>
                    </a:stretch>
                  </pic:blipFill>
                  <pic:spPr>
                    <a:xfrm>
                      <a:off x="0" y="0"/>
                      <a:ext cx="1470561" cy="2052000"/>
                    </a:xfrm>
                    <a:prstGeom prst="rect">
                      <a:avLst/>
                    </a:prstGeom>
                  </pic:spPr>
                </pic:pic>
              </a:graphicData>
            </a:graphic>
          </wp:inline>
        </w:drawing>
      </w:r>
      <w:r>
        <w:rPr>
          <w:noProof/>
          <w:snapToGrid/>
          <w:lang w:val="en-US" w:eastAsia="en-US"/>
        </w:rPr>
        <w:drawing>
          <wp:inline distT="0" distB="0" distL="0" distR="0" wp14:anchorId="2F47E219" wp14:editId="73B9B098">
            <wp:extent cx="1505284" cy="2052000"/>
            <wp:effectExtent l="0" t="0" r="0" b="571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RCP-10M Skull AP organs.png"/>
                    <pic:cNvPicPr/>
                  </pic:nvPicPr>
                  <pic:blipFill>
                    <a:blip r:embed="rId183" cstate="email">
                      <a:extLst>
                        <a:ext uri="{28A0092B-C50C-407E-A947-70E740481C1C}">
                          <a14:useLocalDpi xmlns:a14="http://schemas.microsoft.com/office/drawing/2010/main"/>
                        </a:ext>
                      </a:extLst>
                    </a:blip>
                    <a:stretch>
                      <a:fillRect/>
                    </a:stretch>
                  </pic:blipFill>
                  <pic:spPr>
                    <a:xfrm>
                      <a:off x="0" y="0"/>
                      <a:ext cx="1505284" cy="2052000"/>
                    </a:xfrm>
                    <a:prstGeom prst="rect">
                      <a:avLst/>
                    </a:prstGeom>
                  </pic:spPr>
                </pic:pic>
              </a:graphicData>
            </a:graphic>
          </wp:inline>
        </w:drawing>
      </w:r>
    </w:p>
    <w:p w14:paraId="07E4AB32" w14:textId="77777777" w:rsidR="00E72CA9" w:rsidRDefault="00D516E3">
      <w:pPr>
        <w:pStyle w:val="Annaddtxt"/>
        <w:tabs>
          <w:tab w:val="clear" w:pos="646"/>
          <w:tab w:val="left" w:pos="851"/>
        </w:tabs>
        <w:rPr>
          <w:sz w:val="20"/>
        </w:rPr>
      </w:pPr>
      <w:r>
        <w:t xml:space="preserve">                           </w:t>
      </w:r>
      <w:r>
        <w:rPr>
          <w:sz w:val="20"/>
        </w:rPr>
        <w:t>5-year old                                                                      10-year old</w:t>
      </w:r>
    </w:p>
    <w:p w14:paraId="6A8842B3" w14:textId="77777777" w:rsidR="00E72CA9" w:rsidRDefault="00D516E3">
      <w:pPr>
        <w:pStyle w:val="Annaddtxt"/>
        <w:tabs>
          <w:tab w:val="clear" w:pos="646"/>
          <w:tab w:val="left" w:pos="851"/>
        </w:tabs>
      </w:pPr>
      <w:r>
        <w:rPr>
          <w:noProof/>
          <w:snapToGrid/>
          <w:lang w:val="en-US" w:eastAsia="en-US"/>
        </w:rPr>
        <w:drawing>
          <wp:inline distT="0" distB="0" distL="0" distR="0" wp14:anchorId="35B8BD6B" wp14:editId="0B4771A3">
            <wp:extent cx="1359231" cy="2052000"/>
            <wp:effectExtent l="0" t="0" r="0" b="571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RCP-15M Skull AP.png"/>
                    <pic:cNvPicPr/>
                  </pic:nvPicPr>
                  <pic:blipFill>
                    <a:blip r:embed="rId184" cstate="email">
                      <a:extLst>
                        <a:ext uri="{28A0092B-C50C-407E-A947-70E740481C1C}">
                          <a14:useLocalDpi xmlns:a14="http://schemas.microsoft.com/office/drawing/2010/main"/>
                        </a:ext>
                      </a:extLst>
                    </a:blip>
                    <a:stretch>
                      <a:fillRect/>
                    </a:stretch>
                  </pic:blipFill>
                  <pic:spPr>
                    <a:xfrm>
                      <a:off x="0" y="0"/>
                      <a:ext cx="1359231" cy="2052000"/>
                    </a:xfrm>
                    <a:prstGeom prst="rect">
                      <a:avLst/>
                    </a:prstGeom>
                  </pic:spPr>
                </pic:pic>
              </a:graphicData>
            </a:graphic>
          </wp:inline>
        </w:drawing>
      </w:r>
      <w:r>
        <w:rPr>
          <w:noProof/>
          <w:snapToGrid/>
          <w:lang w:val="en-US" w:eastAsia="en-US"/>
        </w:rPr>
        <w:drawing>
          <wp:inline distT="0" distB="0" distL="0" distR="0" wp14:anchorId="4EDF43CB" wp14:editId="6638AAD2">
            <wp:extent cx="1379693" cy="2052000"/>
            <wp:effectExtent l="0" t="0" r="0" b="571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RCP-15M Skull AP organs.png"/>
                    <pic:cNvPicPr/>
                  </pic:nvPicPr>
                  <pic:blipFill>
                    <a:blip r:embed="rId185" cstate="email">
                      <a:extLst>
                        <a:ext uri="{28A0092B-C50C-407E-A947-70E740481C1C}">
                          <a14:useLocalDpi xmlns:a14="http://schemas.microsoft.com/office/drawing/2010/main"/>
                        </a:ext>
                      </a:extLst>
                    </a:blip>
                    <a:stretch>
                      <a:fillRect/>
                    </a:stretch>
                  </pic:blipFill>
                  <pic:spPr>
                    <a:xfrm>
                      <a:off x="0" y="0"/>
                      <a:ext cx="1379693" cy="2052000"/>
                    </a:xfrm>
                    <a:prstGeom prst="rect">
                      <a:avLst/>
                    </a:prstGeom>
                  </pic:spPr>
                </pic:pic>
              </a:graphicData>
            </a:graphic>
          </wp:inline>
        </w:drawing>
      </w:r>
      <w:r>
        <w:rPr>
          <w:noProof/>
          <w:snapToGrid/>
          <w:lang w:val="en-US" w:eastAsia="en-US"/>
        </w:rPr>
        <w:drawing>
          <wp:inline distT="0" distB="0" distL="0" distR="0" wp14:anchorId="26FE1F98" wp14:editId="7E0ED3DF">
            <wp:extent cx="1351082" cy="2052000"/>
            <wp:effectExtent l="0" t="0" r="1905"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RCP-15F Skull AP.png"/>
                    <pic:cNvPicPr/>
                  </pic:nvPicPr>
                  <pic:blipFill>
                    <a:blip r:embed="rId186" cstate="email">
                      <a:extLst>
                        <a:ext uri="{28A0092B-C50C-407E-A947-70E740481C1C}">
                          <a14:useLocalDpi xmlns:a14="http://schemas.microsoft.com/office/drawing/2010/main"/>
                        </a:ext>
                      </a:extLst>
                    </a:blip>
                    <a:stretch>
                      <a:fillRect/>
                    </a:stretch>
                  </pic:blipFill>
                  <pic:spPr>
                    <a:xfrm>
                      <a:off x="0" y="0"/>
                      <a:ext cx="1351082" cy="2052000"/>
                    </a:xfrm>
                    <a:prstGeom prst="rect">
                      <a:avLst/>
                    </a:prstGeom>
                  </pic:spPr>
                </pic:pic>
              </a:graphicData>
            </a:graphic>
          </wp:inline>
        </w:drawing>
      </w:r>
      <w:r>
        <w:rPr>
          <w:noProof/>
          <w:snapToGrid/>
          <w:lang w:val="en-US" w:eastAsia="en-US"/>
        </w:rPr>
        <w:drawing>
          <wp:inline distT="0" distB="0" distL="0" distR="0" wp14:anchorId="19E3010F" wp14:editId="34AC576B">
            <wp:extent cx="1356531" cy="2052000"/>
            <wp:effectExtent l="0" t="0" r="0" b="571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RCP-15F Skull AP organs.png"/>
                    <pic:cNvPicPr/>
                  </pic:nvPicPr>
                  <pic:blipFill>
                    <a:blip r:embed="rId187" cstate="email">
                      <a:extLst>
                        <a:ext uri="{28A0092B-C50C-407E-A947-70E740481C1C}">
                          <a14:useLocalDpi xmlns:a14="http://schemas.microsoft.com/office/drawing/2010/main"/>
                        </a:ext>
                      </a:extLst>
                    </a:blip>
                    <a:stretch>
                      <a:fillRect/>
                    </a:stretch>
                  </pic:blipFill>
                  <pic:spPr>
                    <a:xfrm>
                      <a:off x="0" y="0"/>
                      <a:ext cx="1356531" cy="2052000"/>
                    </a:xfrm>
                    <a:prstGeom prst="rect">
                      <a:avLst/>
                    </a:prstGeom>
                  </pic:spPr>
                </pic:pic>
              </a:graphicData>
            </a:graphic>
          </wp:inline>
        </w:drawing>
      </w:r>
    </w:p>
    <w:p w14:paraId="0873CD4F" w14:textId="77777777" w:rsidR="00E72CA9" w:rsidRDefault="00D516E3">
      <w:pPr>
        <w:pStyle w:val="Annaddtxt"/>
        <w:tabs>
          <w:tab w:val="clear" w:pos="646"/>
          <w:tab w:val="left" w:pos="851"/>
        </w:tabs>
        <w:spacing w:after="60"/>
        <w:rPr>
          <w:sz w:val="20"/>
          <w:szCs w:val="14"/>
        </w:rPr>
      </w:pPr>
      <w:r>
        <w:rPr>
          <w:sz w:val="20"/>
          <w:szCs w:val="14"/>
        </w:rPr>
        <w:t xml:space="preserve">                               15-year male                                                                 15-year female</w:t>
      </w:r>
    </w:p>
    <w:p w14:paraId="5D9801FA" w14:textId="77777777" w:rsidR="00E72CA9" w:rsidRDefault="00D516E3">
      <w:pPr>
        <w:pStyle w:val="Annaddtxt"/>
        <w:tabs>
          <w:tab w:val="clear" w:pos="646"/>
          <w:tab w:val="left" w:pos="851"/>
        </w:tabs>
        <w:rPr>
          <w:sz w:val="22"/>
          <w:szCs w:val="22"/>
          <w:highlight w:val="yellow"/>
        </w:rPr>
      </w:pPr>
      <w:r>
        <w:rPr>
          <w:sz w:val="22"/>
        </w:rPr>
        <w:t xml:space="preserve">Fig. B.23. Coronal images at the centre of the paediatric reference phantoms showing the anatomical landmarks for </w:t>
      </w:r>
      <w:r>
        <w:rPr>
          <w:sz w:val="22"/>
          <w:szCs w:val="22"/>
        </w:rPr>
        <w:t>skull anterior-posterior examination</w:t>
      </w:r>
      <w:r>
        <w:rPr>
          <w:sz w:val="22"/>
        </w:rPr>
        <w:t xml:space="preserve">. </w:t>
      </w:r>
      <w:r>
        <w:rPr>
          <w:sz w:val="22"/>
          <w:szCs w:val="22"/>
        </w:rPr>
        <w:t xml:space="preserve">For </w:t>
      </w:r>
      <w:r>
        <w:rPr>
          <w:bCs/>
          <w:snapToGrid/>
          <w:sz w:val="22"/>
          <w:szCs w:val="22"/>
          <w:lang w:val="en-US"/>
        </w:rPr>
        <w:t xml:space="preserve">newborn, 1-year, 5-year and 10-year old, the images for the male phantoms are shown. For 15-year old (third row), images for the male and female are shown. </w:t>
      </w:r>
      <w:r>
        <w:rPr>
          <w:sz w:val="22"/>
        </w:rPr>
        <w:t>Left to right: the first image shows only the skeletal landmarks and the second image adds the organs of interest.</w:t>
      </w:r>
    </w:p>
    <w:p w14:paraId="2B90A917" w14:textId="77777777" w:rsidR="00E72CA9" w:rsidRDefault="00D516E3">
      <w:pPr>
        <w:pStyle w:val="ICRPannexheading3"/>
        <w:ind w:hanging="1146"/>
      </w:pPr>
      <w:r>
        <w:lastRenderedPageBreak/>
        <w:t>Skull lateral (Lat)</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7CC88B87" w14:textId="77777777">
        <w:tc>
          <w:tcPr>
            <w:tcW w:w="3330" w:type="dxa"/>
            <w:shd w:val="clear" w:color="auto" w:fill="auto"/>
          </w:tcPr>
          <w:p w14:paraId="67B3A5F4"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71F2703B" w14:textId="77777777" w:rsidR="00E72CA9" w:rsidRDefault="00D516E3">
            <w:pPr>
              <w:pStyle w:val="Annalstext"/>
              <w:tabs>
                <w:tab w:val="clear" w:pos="502"/>
              </w:tabs>
              <w:ind w:left="0" w:firstLine="0"/>
              <w:rPr>
                <w:bCs/>
                <w:snapToGrid/>
                <w:sz w:val="20"/>
                <w:lang w:val="en-US"/>
              </w:rPr>
            </w:pPr>
            <w:r>
              <w:rPr>
                <w:bCs/>
                <w:snapToGrid/>
                <w:sz w:val="20"/>
                <w:lang w:val="en-US"/>
              </w:rPr>
              <w:t>Includes all skull and mandible, for neonate and 1-year old also cervical spine</w:t>
            </w:r>
          </w:p>
        </w:tc>
      </w:tr>
      <w:tr w:rsidR="00E72CA9" w14:paraId="7931CE16" w14:textId="77777777">
        <w:tc>
          <w:tcPr>
            <w:tcW w:w="3330" w:type="dxa"/>
            <w:shd w:val="clear" w:color="auto" w:fill="auto"/>
          </w:tcPr>
          <w:p w14:paraId="349DC33D"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2357C51E" w14:textId="77777777" w:rsidR="00E72CA9" w:rsidRDefault="00D516E3">
            <w:pPr>
              <w:pStyle w:val="Annalstext"/>
              <w:tabs>
                <w:tab w:val="clear" w:pos="502"/>
              </w:tabs>
              <w:ind w:left="0" w:firstLine="0"/>
              <w:rPr>
                <w:bCs/>
                <w:snapToGrid/>
                <w:sz w:val="20"/>
                <w:lang w:val="en-US"/>
              </w:rPr>
            </w:pPr>
            <w:r>
              <w:rPr>
                <w:bCs/>
                <w:snapToGrid/>
                <w:sz w:val="20"/>
                <w:lang w:val="en-US"/>
              </w:rPr>
              <w:t>Should include all skull and mandible</w:t>
            </w:r>
          </w:p>
        </w:tc>
      </w:tr>
      <w:tr w:rsidR="00E72CA9" w14:paraId="748CB957" w14:textId="77777777">
        <w:tc>
          <w:tcPr>
            <w:tcW w:w="3330" w:type="dxa"/>
            <w:shd w:val="clear" w:color="auto" w:fill="auto"/>
          </w:tcPr>
          <w:p w14:paraId="06BC190F"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7919F9AF" w14:textId="77777777" w:rsidR="00E72CA9" w:rsidRDefault="00D516E3">
            <w:pPr>
              <w:pStyle w:val="Annalstext"/>
              <w:tabs>
                <w:tab w:val="clear" w:pos="502"/>
              </w:tabs>
              <w:ind w:left="0" w:firstLine="0"/>
              <w:rPr>
                <w:bCs/>
                <w:snapToGrid/>
                <w:sz w:val="20"/>
                <w:lang w:val="en-US"/>
              </w:rPr>
            </w:pPr>
            <w:r>
              <w:rPr>
                <w:bCs/>
                <w:snapToGrid/>
                <w:sz w:val="20"/>
                <w:lang w:val="en-US"/>
              </w:rPr>
              <w:t xml:space="preserve">110 cm </w:t>
            </w:r>
          </w:p>
        </w:tc>
      </w:tr>
      <w:tr w:rsidR="00E72CA9" w14:paraId="388829F3" w14:textId="77777777">
        <w:tc>
          <w:tcPr>
            <w:tcW w:w="3330" w:type="dxa"/>
            <w:shd w:val="clear" w:color="auto" w:fill="auto"/>
          </w:tcPr>
          <w:p w14:paraId="55AF27BB"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3B9404C7" w14:textId="77777777" w:rsidR="00E72CA9" w:rsidRDefault="00D516E3">
            <w:pPr>
              <w:pStyle w:val="Annalstext"/>
              <w:tabs>
                <w:tab w:val="clear" w:pos="502"/>
              </w:tabs>
              <w:ind w:left="0" w:firstLine="0"/>
              <w:rPr>
                <w:bCs/>
                <w:snapToGrid/>
                <w:sz w:val="20"/>
                <w:lang w:val="en-US"/>
              </w:rPr>
            </w:pPr>
            <w:r>
              <w:rPr>
                <w:bCs/>
                <w:snapToGrid/>
                <w:sz w:val="20"/>
                <w:lang w:val="en-US"/>
              </w:rPr>
              <w:t xml:space="preserve">10 cm (grid) for all ages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tc>
      </w:tr>
    </w:tbl>
    <w:p w14:paraId="5ABE1915" w14:textId="77777777" w:rsidR="00E72CA9" w:rsidRDefault="00D516E3">
      <w:pPr>
        <w:pStyle w:val="Annaddtxt"/>
        <w:tabs>
          <w:tab w:val="clear" w:pos="646"/>
          <w:tab w:val="left" w:pos="851"/>
        </w:tabs>
        <w:spacing w:before="120"/>
      </w:pPr>
      <w:r>
        <w:rPr>
          <w:noProof/>
          <w:snapToGrid/>
          <w:lang w:val="en-US" w:eastAsia="en-US"/>
        </w:rPr>
        <w:drawing>
          <wp:inline distT="0" distB="0" distL="0" distR="0" wp14:anchorId="52A27BD6" wp14:editId="3E75A406">
            <wp:extent cx="1131370" cy="248558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RCP-00M Skull LAT.png"/>
                    <pic:cNvPicPr/>
                  </pic:nvPicPr>
                  <pic:blipFill>
                    <a:blip r:embed="rId188" cstate="email">
                      <a:extLst>
                        <a:ext uri="{28A0092B-C50C-407E-A947-70E740481C1C}">
                          <a14:useLocalDpi xmlns:a14="http://schemas.microsoft.com/office/drawing/2010/main"/>
                        </a:ext>
                      </a:extLst>
                    </a:blip>
                    <a:stretch>
                      <a:fillRect/>
                    </a:stretch>
                  </pic:blipFill>
                  <pic:spPr>
                    <a:xfrm>
                      <a:off x="0" y="0"/>
                      <a:ext cx="1139704" cy="2503896"/>
                    </a:xfrm>
                    <a:prstGeom prst="rect">
                      <a:avLst/>
                    </a:prstGeom>
                  </pic:spPr>
                </pic:pic>
              </a:graphicData>
            </a:graphic>
          </wp:inline>
        </w:drawing>
      </w:r>
      <w:r>
        <w:rPr>
          <w:noProof/>
          <w:snapToGrid/>
          <w:lang w:val="en-US" w:eastAsia="en-US"/>
        </w:rPr>
        <w:drawing>
          <wp:inline distT="0" distB="0" distL="0" distR="0" wp14:anchorId="42224782" wp14:editId="381E0B16">
            <wp:extent cx="1030680" cy="2498968"/>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RCP-00M Skull LAT organs.png"/>
                    <pic:cNvPicPr/>
                  </pic:nvPicPr>
                  <pic:blipFill>
                    <a:blip r:embed="rId189" cstate="email">
                      <a:extLst>
                        <a:ext uri="{28A0092B-C50C-407E-A947-70E740481C1C}">
                          <a14:useLocalDpi xmlns:a14="http://schemas.microsoft.com/office/drawing/2010/main"/>
                        </a:ext>
                      </a:extLst>
                    </a:blip>
                    <a:stretch>
                      <a:fillRect/>
                    </a:stretch>
                  </pic:blipFill>
                  <pic:spPr>
                    <a:xfrm>
                      <a:off x="0" y="0"/>
                      <a:ext cx="1039569" cy="2520521"/>
                    </a:xfrm>
                    <a:prstGeom prst="rect">
                      <a:avLst/>
                    </a:prstGeom>
                  </pic:spPr>
                </pic:pic>
              </a:graphicData>
            </a:graphic>
          </wp:inline>
        </w:drawing>
      </w:r>
      <w:r>
        <w:rPr>
          <w:noProof/>
          <w:snapToGrid/>
          <w:lang w:val="en-US" w:eastAsia="en-US"/>
        </w:rPr>
        <w:drawing>
          <wp:inline distT="0" distB="0" distL="0" distR="0" wp14:anchorId="739C220E" wp14:editId="47D375D6">
            <wp:extent cx="928807" cy="2482500"/>
            <wp:effectExtent l="0" t="0" r="508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RCP-01M Skull LAT.png"/>
                    <pic:cNvPicPr/>
                  </pic:nvPicPr>
                  <pic:blipFill>
                    <a:blip r:embed="rId190" cstate="email">
                      <a:extLst>
                        <a:ext uri="{28A0092B-C50C-407E-A947-70E740481C1C}">
                          <a14:useLocalDpi xmlns:a14="http://schemas.microsoft.com/office/drawing/2010/main"/>
                        </a:ext>
                      </a:extLst>
                    </a:blip>
                    <a:stretch>
                      <a:fillRect/>
                    </a:stretch>
                  </pic:blipFill>
                  <pic:spPr>
                    <a:xfrm>
                      <a:off x="0" y="0"/>
                      <a:ext cx="937623" cy="2506064"/>
                    </a:xfrm>
                    <a:prstGeom prst="rect">
                      <a:avLst/>
                    </a:prstGeom>
                  </pic:spPr>
                </pic:pic>
              </a:graphicData>
            </a:graphic>
          </wp:inline>
        </w:drawing>
      </w:r>
      <w:r>
        <w:rPr>
          <w:noProof/>
          <w:snapToGrid/>
          <w:lang w:val="en-US" w:eastAsia="en-US"/>
        </w:rPr>
        <w:drawing>
          <wp:inline distT="0" distB="0" distL="0" distR="0" wp14:anchorId="165C6B3C" wp14:editId="728AA420">
            <wp:extent cx="912001" cy="2490137"/>
            <wp:effectExtent l="0" t="0" r="2540" b="57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RCP-01M Skull LAT organs.png"/>
                    <pic:cNvPicPr/>
                  </pic:nvPicPr>
                  <pic:blipFill>
                    <a:blip r:embed="rId191" cstate="email">
                      <a:extLst>
                        <a:ext uri="{28A0092B-C50C-407E-A947-70E740481C1C}">
                          <a14:useLocalDpi xmlns:a14="http://schemas.microsoft.com/office/drawing/2010/main"/>
                        </a:ext>
                      </a:extLst>
                    </a:blip>
                    <a:stretch>
                      <a:fillRect/>
                    </a:stretch>
                  </pic:blipFill>
                  <pic:spPr>
                    <a:xfrm>
                      <a:off x="0" y="0"/>
                      <a:ext cx="921789" cy="2516861"/>
                    </a:xfrm>
                    <a:prstGeom prst="rect">
                      <a:avLst/>
                    </a:prstGeom>
                  </pic:spPr>
                </pic:pic>
              </a:graphicData>
            </a:graphic>
          </wp:inline>
        </w:drawing>
      </w:r>
      <w:r>
        <w:rPr>
          <w:noProof/>
          <w:snapToGrid/>
          <w:lang w:val="en-US" w:eastAsia="en-US"/>
        </w:rPr>
        <w:drawing>
          <wp:inline distT="0" distB="0" distL="0" distR="0" wp14:anchorId="4BC75CD4" wp14:editId="3A411EF0">
            <wp:extent cx="844329" cy="2484331"/>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CP-05M Skull LAT.png"/>
                    <pic:cNvPicPr/>
                  </pic:nvPicPr>
                  <pic:blipFill>
                    <a:blip r:embed="rId192" cstate="email">
                      <a:extLst>
                        <a:ext uri="{28A0092B-C50C-407E-A947-70E740481C1C}">
                          <a14:useLocalDpi xmlns:a14="http://schemas.microsoft.com/office/drawing/2010/main"/>
                        </a:ext>
                      </a:extLst>
                    </a:blip>
                    <a:stretch>
                      <a:fillRect/>
                    </a:stretch>
                  </pic:blipFill>
                  <pic:spPr>
                    <a:xfrm>
                      <a:off x="0" y="0"/>
                      <a:ext cx="852721" cy="2509024"/>
                    </a:xfrm>
                    <a:prstGeom prst="rect">
                      <a:avLst/>
                    </a:prstGeom>
                  </pic:spPr>
                </pic:pic>
              </a:graphicData>
            </a:graphic>
          </wp:inline>
        </w:drawing>
      </w:r>
      <w:r>
        <w:rPr>
          <w:noProof/>
          <w:snapToGrid/>
          <w:lang w:val="en-US" w:eastAsia="en-US"/>
        </w:rPr>
        <w:drawing>
          <wp:inline distT="0" distB="0" distL="0" distR="0" wp14:anchorId="6F4CA292" wp14:editId="6A059C85">
            <wp:extent cx="833731" cy="2495484"/>
            <wp:effectExtent l="0" t="0" r="5080" b="63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RCP-05M Skull LAT organs.png"/>
                    <pic:cNvPicPr/>
                  </pic:nvPicPr>
                  <pic:blipFill>
                    <a:blip r:embed="rId193" cstate="email">
                      <a:extLst>
                        <a:ext uri="{28A0092B-C50C-407E-A947-70E740481C1C}">
                          <a14:useLocalDpi xmlns:a14="http://schemas.microsoft.com/office/drawing/2010/main"/>
                        </a:ext>
                      </a:extLst>
                    </a:blip>
                    <a:stretch>
                      <a:fillRect/>
                    </a:stretch>
                  </pic:blipFill>
                  <pic:spPr>
                    <a:xfrm>
                      <a:off x="0" y="0"/>
                      <a:ext cx="845397" cy="2530401"/>
                    </a:xfrm>
                    <a:prstGeom prst="rect">
                      <a:avLst/>
                    </a:prstGeom>
                  </pic:spPr>
                </pic:pic>
              </a:graphicData>
            </a:graphic>
          </wp:inline>
        </w:drawing>
      </w:r>
    </w:p>
    <w:p w14:paraId="49D5113F" w14:textId="77777777" w:rsidR="00E72CA9" w:rsidRDefault="00D516E3">
      <w:pPr>
        <w:pStyle w:val="Annaddtxt"/>
        <w:tabs>
          <w:tab w:val="clear" w:pos="646"/>
          <w:tab w:val="left" w:pos="851"/>
        </w:tabs>
        <w:rPr>
          <w:sz w:val="20"/>
        </w:rPr>
      </w:pPr>
      <w:r>
        <w:rPr>
          <w:sz w:val="20"/>
        </w:rPr>
        <w:t xml:space="preserve">                         newborn                                               1-year old                                        5-year old            </w:t>
      </w:r>
    </w:p>
    <w:p w14:paraId="0E0376D4" w14:textId="77777777" w:rsidR="00E72CA9" w:rsidRDefault="00D516E3">
      <w:pPr>
        <w:pStyle w:val="Annaddtxt"/>
        <w:tabs>
          <w:tab w:val="clear" w:pos="646"/>
          <w:tab w:val="left" w:pos="851"/>
        </w:tabs>
        <w:spacing w:before="120"/>
      </w:pPr>
      <w:r>
        <w:rPr>
          <w:noProof/>
          <w:snapToGrid/>
          <w:lang w:val="en-US" w:eastAsia="en-US"/>
        </w:rPr>
        <w:drawing>
          <wp:inline distT="0" distB="0" distL="0" distR="0" wp14:anchorId="7452804A" wp14:editId="1C109F41">
            <wp:extent cx="933428" cy="2376000"/>
            <wp:effectExtent l="0" t="0" r="635"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RCP-10M Skull LAT.png"/>
                    <pic:cNvPicPr/>
                  </pic:nvPicPr>
                  <pic:blipFill>
                    <a:blip r:embed="rId194" cstate="email">
                      <a:extLst>
                        <a:ext uri="{28A0092B-C50C-407E-A947-70E740481C1C}">
                          <a14:useLocalDpi xmlns:a14="http://schemas.microsoft.com/office/drawing/2010/main"/>
                        </a:ext>
                      </a:extLst>
                    </a:blip>
                    <a:stretch>
                      <a:fillRect/>
                    </a:stretch>
                  </pic:blipFill>
                  <pic:spPr>
                    <a:xfrm>
                      <a:off x="0" y="0"/>
                      <a:ext cx="933428" cy="2376000"/>
                    </a:xfrm>
                    <a:prstGeom prst="rect">
                      <a:avLst/>
                    </a:prstGeom>
                  </pic:spPr>
                </pic:pic>
              </a:graphicData>
            </a:graphic>
          </wp:inline>
        </w:drawing>
      </w:r>
      <w:r>
        <w:rPr>
          <w:noProof/>
          <w:snapToGrid/>
          <w:lang w:val="en-US" w:eastAsia="en-US"/>
        </w:rPr>
        <w:drawing>
          <wp:inline distT="0" distB="0" distL="0" distR="0" wp14:anchorId="44BA4A91" wp14:editId="39CB813B">
            <wp:extent cx="1023102" cy="2376000"/>
            <wp:effectExtent l="0" t="0" r="5715"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RCP-10M Skull LAT organs.png"/>
                    <pic:cNvPicPr/>
                  </pic:nvPicPr>
                  <pic:blipFill>
                    <a:blip r:embed="rId195" cstate="email">
                      <a:extLst>
                        <a:ext uri="{28A0092B-C50C-407E-A947-70E740481C1C}">
                          <a14:useLocalDpi xmlns:a14="http://schemas.microsoft.com/office/drawing/2010/main"/>
                        </a:ext>
                      </a:extLst>
                    </a:blip>
                    <a:stretch>
                      <a:fillRect/>
                    </a:stretch>
                  </pic:blipFill>
                  <pic:spPr>
                    <a:xfrm>
                      <a:off x="0" y="0"/>
                      <a:ext cx="1023102" cy="2376000"/>
                    </a:xfrm>
                    <a:prstGeom prst="rect">
                      <a:avLst/>
                    </a:prstGeom>
                  </pic:spPr>
                </pic:pic>
              </a:graphicData>
            </a:graphic>
          </wp:inline>
        </w:drawing>
      </w:r>
      <w:r>
        <w:rPr>
          <w:noProof/>
          <w:snapToGrid/>
          <w:lang w:val="en-US" w:eastAsia="en-US"/>
        </w:rPr>
        <w:drawing>
          <wp:inline distT="0" distB="0" distL="0" distR="0" wp14:anchorId="4F298521" wp14:editId="06E534E2">
            <wp:extent cx="886846" cy="2664000"/>
            <wp:effectExtent l="0" t="0" r="8890" b="317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RCP-15M Skull LAT.png"/>
                    <pic:cNvPicPr/>
                  </pic:nvPicPr>
                  <pic:blipFill>
                    <a:blip r:embed="rId196" cstate="email">
                      <a:extLst>
                        <a:ext uri="{28A0092B-C50C-407E-A947-70E740481C1C}">
                          <a14:useLocalDpi xmlns:a14="http://schemas.microsoft.com/office/drawing/2010/main"/>
                        </a:ext>
                      </a:extLst>
                    </a:blip>
                    <a:stretch>
                      <a:fillRect/>
                    </a:stretch>
                  </pic:blipFill>
                  <pic:spPr>
                    <a:xfrm>
                      <a:off x="0" y="0"/>
                      <a:ext cx="886846" cy="2664000"/>
                    </a:xfrm>
                    <a:prstGeom prst="rect">
                      <a:avLst/>
                    </a:prstGeom>
                  </pic:spPr>
                </pic:pic>
              </a:graphicData>
            </a:graphic>
          </wp:inline>
        </w:drawing>
      </w:r>
      <w:r>
        <w:rPr>
          <w:noProof/>
          <w:snapToGrid/>
          <w:lang w:val="en-US" w:eastAsia="en-US"/>
        </w:rPr>
        <w:drawing>
          <wp:inline distT="0" distB="0" distL="0" distR="0" wp14:anchorId="222A792D" wp14:editId="52777A3B">
            <wp:extent cx="884545" cy="2664000"/>
            <wp:effectExtent l="0" t="0" r="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RCP-15M Skull LAT organs.png"/>
                    <pic:cNvPicPr/>
                  </pic:nvPicPr>
                  <pic:blipFill>
                    <a:blip r:embed="rId197" cstate="email">
                      <a:extLst>
                        <a:ext uri="{28A0092B-C50C-407E-A947-70E740481C1C}">
                          <a14:useLocalDpi xmlns:a14="http://schemas.microsoft.com/office/drawing/2010/main"/>
                        </a:ext>
                      </a:extLst>
                    </a:blip>
                    <a:stretch>
                      <a:fillRect/>
                    </a:stretch>
                  </pic:blipFill>
                  <pic:spPr>
                    <a:xfrm>
                      <a:off x="0" y="0"/>
                      <a:ext cx="884545" cy="2664000"/>
                    </a:xfrm>
                    <a:prstGeom prst="rect">
                      <a:avLst/>
                    </a:prstGeom>
                  </pic:spPr>
                </pic:pic>
              </a:graphicData>
            </a:graphic>
          </wp:inline>
        </w:drawing>
      </w:r>
      <w:r>
        <w:rPr>
          <w:noProof/>
          <w:snapToGrid/>
          <w:lang w:val="en-US" w:eastAsia="en-US"/>
        </w:rPr>
        <w:drawing>
          <wp:inline distT="0" distB="0" distL="0" distR="0" wp14:anchorId="4C98FCD4" wp14:editId="2428313A">
            <wp:extent cx="1013205" cy="2664000"/>
            <wp:effectExtent l="0" t="0" r="0" b="317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RCP-15F Skull LAT.png"/>
                    <pic:cNvPicPr/>
                  </pic:nvPicPr>
                  <pic:blipFill>
                    <a:blip r:embed="rId198" cstate="email">
                      <a:extLst>
                        <a:ext uri="{28A0092B-C50C-407E-A947-70E740481C1C}">
                          <a14:useLocalDpi xmlns:a14="http://schemas.microsoft.com/office/drawing/2010/main"/>
                        </a:ext>
                      </a:extLst>
                    </a:blip>
                    <a:stretch>
                      <a:fillRect/>
                    </a:stretch>
                  </pic:blipFill>
                  <pic:spPr>
                    <a:xfrm>
                      <a:off x="0" y="0"/>
                      <a:ext cx="1013205" cy="2664000"/>
                    </a:xfrm>
                    <a:prstGeom prst="rect">
                      <a:avLst/>
                    </a:prstGeom>
                  </pic:spPr>
                </pic:pic>
              </a:graphicData>
            </a:graphic>
          </wp:inline>
        </w:drawing>
      </w:r>
      <w:r>
        <w:rPr>
          <w:noProof/>
          <w:snapToGrid/>
          <w:lang w:val="en-US" w:eastAsia="en-US"/>
        </w:rPr>
        <w:drawing>
          <wp:inline distT="0" distB="0" distL="0" distR="0" wp14:anchorId="34F53A3D" wp14:editId="3EC80A88">
            <wp:extent cx="950745" cy="2664000"/>
            <wp:effectExtent l="0" t="0" r="190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RCP-15F Skull LAT organs.png"/>
                    <pic:cNvPicPr/>
                  </pic:nvPicPr>
                  <pic:blipFill>
                    <a:blip r:embed="rId199" cstate="email">
                      <a:extLst>
                        <a:ext uri="{28A0092B-C50C-407E-A947-70E740481C1C}">
                          <a14:useLocalDpi xmlns:a14="http://schemas.microsoft.com/office/drawing/2010/main"/>
                        </a:ext>
                      </a:extLst>
                    </a:blip>
                    <a:stretch>
                      <a:fillRect/>
                    </a:stretch>
                  </pic:blipFill>
                  <pic:spPr>
                    <a:xfrm>
                      <a:off x="0" y="0"/>
                      <a:ext cx="950745" cy="2664000"/>
                    </a:xfrm>
                    <a:prstGeom prst="rect">
                      <a:avLst/>
                    </a:prstGeom>
                  </pic:spPr>
                </pic:pic>
              </a:graphicData>
            </a:graphic>
          </wp:inline>
        </w:drawing>
      </w:r>
    </w:p>
    <w:p w14:paraId="35F26DCC" w14:textId="77777777" w:rsidR="00E72CA9" w:rsidRDefault="00D516E3">
      <w:pPr>
        <w:pStyle w:val="Annaddtxt"/>
        <w:tabs>
          <w:tab w:val="clear" w:pos="646"/>
          <w:tab w:val="left" w:pos="851"/>
        </w:tabs>
        <w:spacing w:after="120"/>
        <w:rPr>
          <w:sz w:val="20"/>
        </w:rPr>
      </w:pPr>
      <w:r>
        <w:rPr>
          <w:sz w:val="20"/>
        </w:rPr>
        <w:t xml:space="preserve">                     10-year old                                     15-year male                                     15-year female</w:t>
      </w:r>
    </w:p>
    <w:p w14:paraId="306AE93A" w14:textId="77777777" w:rsidR="00E72CA9" w:rsidRDefault="00D516E3">
      <w:pPr>
        <w:pStyle w:val="Annaddtxt"/>
        <w:tabs>
          <w:tab w:val="clear" w:pos="646"/>
          <w:tab w:val="left" w:pos="851"/>
        </w:tabs>
        <w:rPr>
          <w:sz w:val="22"/>
          <w:szCs w:val="22"/>
          <w:highlight w:val="yellow"/>
        </w:rPr>
      </w:pPr>
      <w:r>
        <w:rPr>
          <w:sz w:val="22"/>
        </w:rPr>
        <w:t xml:space="preserve">Fig. B.24. </w:t>
      </w:r>
      <w:proofErr w:type="spellStart"/>
      <w:r>
        <w:rPr>
          <w:sz w:val="22"/>
        </w:rPr>
        <w:t>Sagital</w:t>
      </w:r>
      <w:proofErr w:type="spellEnd"/>
      <w:r>
        <w:rPr>
          <w:sz w:val="22"/>
        </w:rPr>
        <w:t xml:space="preserve"> images at the centre of the paediatric reference phantoms showing the anatomical landmarks for </w:t>
      </w:r>
      <w:r>
        <w:rPr>
          <w:sz w:val="22"/>
          <w:szCs w:val="22"/>
        </w:rPr>
        <w:t>skull lateral</w:t>
      </w:r>
      <w:r>
        <w:rPr>
          <w:sz w:val="22"/>
        </w:rPr>
        <w:t xml:space="preserve">. </w:t>
      </w:r>
      <w:r>
        <w:rPr>
          <w:sz w:val="22"/>
          <w:szCs w:val="22"/>
        </w:rPr>
        <w:t xml:space="preserve">For </w:t>
      </w:r>
      <w:r>
        <w:rPr>
          <w:bCs/>
          <w:snapToGrid/>
          <w:sz w:val="22"/>
          <w:szCs w:val="22"/>
          <w:lang w:val="en-US"/>
        </w:rPr>
        <w:t xml:space="preserve">newborn, 1-year, 5-year and 10-year old, the images for the male phantoms are shown. For 15-year old (third row), images for the male and female are shown. </w:t>
      </w:r>
      <w:r>
        <w:rPr>
          <w:sz w:val="22"/>
        </w:rPr>
        <w:t>Left to right: the first image shows only the skeletal landmarks and the second image adds the organs of interest.</w:t>
      </w:r>
    </w:p>
    <w:p w14:paraId="10821FCE" w14:textId="77777777" w:rsidR="00E72CA9" w:rsidRDefault="00E72CA9">
      <w:pPr>
        <w:jc w:val="both"/>
        <w:rPr>
          <w:sz w:val="22"/>
        </w:rPr>
      </w:pPr>
    </w:p>
    <w:p w14:paraId="6B0ACB1E" w14:textId="77777777" w:rsidR="00E72CA9" w:rsidRDefault="00E72CA9">
      <w:pPr>
        <w:rPr>
          <w:sz w:val="22"/>
          <w:highlight w:val="yellow"/>
        </w:rPr>
      </w:pPr>
    </w:p>
    <w:p w14:paraId="181F4153" w14:textId="77777777" w:rsidR="00E72CA9" w:rsidRDefault="00E72CA9">
      <w:pPr>
        <w:pStyle w:val="Annaddtxt"/>
        <w:tabs>
          <w:tab w:val="clear" w:pos="646"/>
          <w:tab w:val="left" w:pos="851"/>
        </w:tabs>
        <w:rPr>
          <w:sz w:val="22"/>
          <w:szCs w:val="22"/>
        </w:rPr>
      </w:pPr>
    </w:p>
    <w:p w14:paraId="0219D7B6" w14:textId="77777777" w:rsidR="00E72CA9" w:rsidRDefault="00E72CA9">
      <w:pPr>
        <w:pStyle w:val="Annaddtxt"/>
        <w:tabs>
          <w:tab w:val="clear" w:pos="646"/>
          <w:tab w:val="left" w:pos="851"/>
        </w:tabs>
        <w:rPr>
          <w:sz w:val="22"/>
          <w:szCs w:val="22"/>
        </w:rPr>
      </w:pPr>
    </w:p>
    <w:p w14:paraId="34750A54" w14:textId="77777777" w:rsidR="00E72CA9" w:rsidRDefault="00D516E3">
      <w:pPr>
        <w:pStyle w:val="Annaddtxt"/>
        <w:tabs>
          <w:tab w:val="clear" w:pos="646"/>
          <w:tab w:val="left" w:pos="851"/>
        </w:tabs>
        <w:rPr>
          <w:sz w:val="22"/>
          <w:szCs w:val="22"/>
          <w:highlight w:val="yellow"/>
        </w:rPr>
      </w:pPr>
      <w:r>
        <w:rPr>
          <w:sz w:val="22"/>
          <w:szCs w:val="22"/>
          <w:highlight w:val="yellow"/>
        </w:rPr>
        <w:br w:type="page"/>
      </w:r>
    </w:p>
    <w:p w14:paraId="091A0E9D" w14:textId="77777777" w:rsidR="00E72CA9" w:rsidRDefault="00D516E3">
      <w:pPr>
        <w:pStyle w:val="ICRPannexheading3"/>
        <w:ind w:hanging="1146"/>
        <w:rPr>
          <w:color w:val="FF0000"/>
        </w:rPr>
      </w:pPr>
      <w:r>
        <w:lastRenderedPageBreak/>
        <w:t xml:space="preserve"> </w:t>
      </w:r>
      <w:bookmarkStart w:id="210" w:name="_Hlk156925561"/>
      <w:r>
        <w:t>Skull posterior-anterior (PA) (15° caudal angulation)</w:t>
      </w:r>
    </w:p>
    <w:tbl>
      <w:tblPr>
        <w:tblW w:w="9157" w:type="dxa"/>
        <w:tblInd w:w="-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30"/>
        <w:gridCol w:w="5827"/>
      </w:tblGrid>
      <w:tr w:rsidR="00E72CA9" w14:paraId="609101AC" w14:textId="77777777">
        <w:tc>
          <w:tcPr>
            <w:tcW w:w="3330" w:type="dxa"/>
            <w:shd w:val="clear" w:color="auto" w:fill="auto"/>
          </w:tcPr>
          <w:bookmarkEnd w:id="210"/>
          <w:p w14:paraId="47AF5C33" w14:textId="77777777" w:rsidR="00E72CA9" w:rsidRDefault="00D516E3">
            <w:pPr>
              <w:pStyle w:val="Annalstext"/>
              <w:tabs>
                <w:tab w:val="clear" w:pos="502"/>
              </w:tabs>
              <w:ind w:left="0" w:firstLine="0"/>
              <w:rPr>
                <w:bCs/>
                <w:snapToGrid/>
                <w:sz w:val="20"/>
                <w:lang w:val="en-US"/>
              </w:rPr>
            </w:pPr>
            <w:r>
              <w:rPr>
                <w:bCs/>
                <w:snapToGrid/>
                <w:sz w:val="20"/>
                <w:lang w:val="en-US"/>
              </w:rPr>
              <w:t>Field height extension:</w:t>
            </w:r>
          </w:p>
        </w:tc>
        <w:tc>
          <w:tcPr>
            <w:tcW w:w="5827" w:type="dxa"/>
            <w:shd w:val="clear" w:color="auto" w:fill="auto"/>
          </w:tcPr>
          <w:p w14:paraId="2D70EF17" w14:textId="77777777" w:rsidR="00E72CA9" w:rsidRDefault="00D516E3">
            <w:pPr>
              <w:pStyle w:val="Annalstext"/>
              <w:tabs>
                <w:tab w:val="clear" w:pos="502"/>
              </w:tabs>
              <w:ind w:left="0" w:firstLine="0"/>
              <w:rPr>
                <w:bCs/>
                <w:snapToGrid/>
                <w:sz w:val="20"/>
                <w:lang w:val="en-US"/>
              </w:rPr>
            </w:pPr>
            <w:r>
              <w:rPr>
                <w:bCs/>
                <w:snapToGrid/>
                <w:sz w:val="20"/>
                <w:lang w:val="en-US"/>
              </w:rPr>
              <w:t>Includes all skull and mandible, for neonate and 1-year old also cervical spine</w:t>
            </w:r>
          </w:p>
        </w:tc>
      </w:tr>
      <w:tr w:rsidR="00E72CA9" w14:paraId="142477B1" w14:textId="77777777">
        <w:tc>
          <w:tcPr>
            <w:tcW w:w="3330" w:type="dxa"/>
            <w:shd w:val="clear" w:color="auto" w:fill="auto"/>
          </w:tcPr>
          <w:p w14:paraId="35FA05CB" w14:textId="77777777" w:rsidR="00E72CA9" w:rsidRDefault="00D516E3">
            <w:pPr>
              <w:pStyle w:val="Annalstext"/>
              <w:tabs>
                <w:tab w:val="clear" w:pos="502"/>
              </w:tabs>
              <w:ind w:left="0" w:firstLine="0"/>
              <w:rPr>
                <w:bCs/>
                <w:snapToGrid/>
                <w:sz w:val="20"/>
                <w:lang w:val="en-US"/>
              </w:rPr>
            </w:pPr>
            <w:r>
              <w:rPr>
                <w:bCs/>
                <w:snapToGrid/>
                <w:sz w:val="20"/>
                <w:lang w:val="en-US"/>
              </w:rPr>
              <w:t>Field lateral extension:</w:t>
            </w:r>
          </w:p>
        </w:tc>
        <w:tc>
          <w:tcPr>
            <w:tcW w:w="5827" w:type="dxa"/>
            <w:shd w:val="clear" w:color="auto" w:fill="auto"/>
          </w:tcPr>
          <w:p w14:paraId="53BCFC36" w14:textId="77777777" w:rsidR="00E72CA9" w:rsidRDefault="00D516E3">
            <w:pPr>
              <w:pStyle w:val="Annalstext"/>
              <w:tabs>
                <w:tab w:val="clear" w:pos="502"/>
              </w:tabs>
              <w:ind w:left="0" w:firstLine="0"/>
              <w:rPr>
                <w:bCs/>
                <w:snapToGrid/>
                <w:sz w:val="20"/>
                <w:lang w:val="en-US"/>
              </w:rPr>
            </w:pPr>
            <w:r>
              <w:rPr>
                <w:bCs/>
                <w:snapToGrid/>
                <w:sz w:val="20"/>
                <w:lang w:val="en-US"/>
              </w:rPr>
              <w:t>Should include all skull and mandible</w:t>
            </w:r>
          </w:p>
        </w:tc>
      </w:tr>
      <w:tr w:rsidR="00E72CA9" w14:paraId="2261F746" w14:textId="77777777">
        <w:tc>
          <w:tcPr>
            <w:tcW w:w="3330" w:type="dxa"/>
            <w:shd w:val="clear" w:color="auto" w:fill="auto"/>
          </w:tcPr>
          <w:p w14:paraId="56106D22" w14:textId="77777777" w:rsidR="00E72CA9" w:rsidRDefault="00D516E3">
            <w:pPr>
              <w:pStyle w:val="Annalstext"/>
              <w:tabs>
                <w:tab w:val="clear" w:pos="502"/>
              </w:tabs>
              <w:ind w:left="0" w:firstLine="0"/>
              <w:rPr>
                <w:bCs/>
                <w:snapToGrid/>
                <w:sz w:val="20"/>
                <w:lang w:val="en-US"/>
              </w:rPr>
            </w:pPr>
            <w:r>
              <w:rPr>
                <w:bCs/>
                <w:snapToGrid/>
                <w:sz w:val="20"/>
                <w:lang w:val="en-US"/>
              </w:rPr>
              <w:t>Focus to detector distance, FDD:</w:t>
            </w:r>
          </w:p>
        </w:tc>
        <w:tc>
          <w:tcPr>
            <w:tcW w:w="5827" w:type="dxa"/>
            <w:shd w:val="clear" w:color="auto" w:fill="auto"/>
          </w:tcPr>
          <w:p w14:paraId="4F379528" w14:textId="77777777" w:rsidR="00E72CA9" w:rsidRDefault="00D516E3">
            <w:pPr>
              <w:pStyle w:val="Annalstext"/>
              <w:tabs>
                <w:tab w:val="clear" w:pos="502"/>
              </w:tabs>
              <w:ind w:left="0" w:firstLine="0"/>
              <w:rPr>
                <w:bCs/>
                <w:snapToGrid/>
                <w:sz w:val="20"/>
                <w:lang w:val="en-US"/>
              </w:rPr>
            </w:pPr>
            <w:r>
              <w:rPr>
                <w:bCs/>
                <w:snapToGrid/>
                <w:sz w:val="20"/>
                <w:lang w:val="en-US"/>
              </w:rPr>
              <w:t xml:space="preserve">110 cm </w:t>
            </w:r>
          </w:p>
        </w:tc>
      </w:tr>
      <w:tr w:rsidR="00E72CA9" w14:paraId="2DDD8CC8" w14:textId="77777777">
        <w:tc>
          <w:tcPr>
            <w:tcW w:w="3330" w:type="dxa"/>
            <w:shd w:val="clear" w:color="auto" w:fill="auto"/>
          </w:tcPr>
          <w:p w14:paraId="235806CF" w14:textId="77777777" w:rsidR="00E72CA9" w:rsidRDefault="00D516E3">
            <w:pPr>
              <w:pStyle w:val="Annalstext"/>
              <w:tabs>
                <w:tab w:val="clear" w:pos="502"/>
              </w:tabs>
              <w:ind w:left="0" w:firstLine="0"/>
              <w:rPr>
                <w:bCs/>
                <w:snapToGrid/>
                <w:sz w:val="20"/>
                <w:lang w:val="en-US"/>
              </w:rPr>
            </w:pPr>
            <w:r>
              <w:rPr>
                <w:bCs/>
                <w:snapToGrid/>
                <w:sz w:val="20"/>
                <w:lang w:val="en-US"/>
              </w:rPr>
              <w:t>Skin to detector distance, SDD:</w:t>
            </w:r>
          </w:p>
        </w:tc>
        <w:tc>
          <w:tcPr>
            <w:tcW w:w="5827" w:type="dxa"/>
            <w:shd w:val="clear" w:color="auto" w:fill="auto"/>
          </w:tcPr>
          <w:p w14:paraId="0309E687" w14:textId="77777777" w:rsidR="00E72CA9" w:rsidRDefault="00D516E3">
            <w:pPr>
              <w:pStyle w:val="Annalstext"/>
              <w:tabs>
                <w:tab w:val="clear" w:pos="502"/>
              </w:tabs>
              <w:ind w:left="0" w:firstLine="0"/>
              <w:rPr>
                <w:bCs/>
                <w:snapToGrid/>
                <w:sz w:val="20"/>
                <w:lang w:val="en-US"/>
              </w:rPr>
            </w:pPr>
            <w:r>
              <w:rPr>
                <w:bCs/>
                <w:snapToGrid/>
                <w:sz w:val="20"/>
                <w:lang w:val="en-US"/>
              </w:rPr>
              <w:t xml:space="preserve">10 cm (grid) for all ages </w:t>
            </w:r>
            <w:r>
              <w:rPr>
                <w:bCs/>
                <w:snapToGrid/>
                <w:sz w:val="20"/>
                <w:lang w:val="en-US"/>
              </w:rPr>
              <w:fldChar w:fldCharType="begin"/>
            </w:r>
            <w:r>
              <w:rPr>
                <w:bCs/>
                <w:snapToGrid/>
                <w:sz w:val="20"/>
                <w:lang w:val="en-US"/>
              </w:rPr>
              <w:instrText xml:space="preserve"> ADDIN EN.CITE &lt;EndNote&gt;&lt;Cite&gt;&lt;Author&gt;Knight&lt;/Author&gt;&lt;Year&gt;2014&lt;/Year&gt;&lt;RecNum&gt;12156&lt;/RecNum&gt;&lt;DisplayText&gt;(Knight, 2014)&lt;/DisplayText&gt;&lt;record&gt;&lt;rec-number&gt;12156&lt;/rec-number&gt;&lt;foreign-keys&gt;&lt;key app="EN" db-id="rss5s0wzrpx9pwe5a0h5a9wkx9sf2zexde9d" timestamp="1660030092"&gt;12156&lt;/key&gt;&lt;/foreign-keys&gt;&lt;ref-type name="Journal Article"&gt;17&lt;/ref-type&gt;&lt;contributors&gt;&lt;authors&gt;&lt;author&gt;Knight, Stephen P.&lt;/author&gt;&lt;/authors&gt;&lt;/contributors&gt;&lt;titles&gt;&lt;title&gt;A paediatric X-ray exposure chart&lt;/title&gt;&lt;secondary-title&gt;Journal of Medical Radiation Sciences&lt;/secondary-title&gt;&lt;/titles&gt;&lt;periodical&gt;&lt;full-title&gt;Journal of Medical Radiation Sciences&lt;/full-title&gt;&lt;/periodical&gt;&lt;pages&gt;191-201&lt;/pages&gt;&lt;volume&gt;61&lt;/volume&gt;&lt;number&gt;3&lt;/number&gt;&lt;keywords&gt;&lt;keyword&gt;Exposure&lt;/keyword&gt;&lt;keyword&gt;imaging&lt;/keyword&gt;&lt;keyword&gt;paediatric&lt;/keyword&gt;&lt;keyword&gt;radiography&lt;/keyword&gt;&lt;keyword&gt;technique&lt;/keyword&gt;&lt;/keywords&gt;&lt;dates&gt;&lt;year&gt;2014&lt;/year&gt;&lt;/dates&gt;&lt;isbn&gt;2051-3895&lt;/isbn&gt;&lt;urls&gt;&lt;related-urls&gt;&lt;url&gt;https://onlinelibrary.wiley.com/doi/abs/10.1002/jmrs.56&lt;/url&gt;&lt;/related-urls&gt;&lt;/urls&gt;&lt;electronic-resource-num&gt;https://doi.org/10.1002/jmrs.56&lt;/electronic-resource-num&gt;&lt;/record&gt;&lt;/Cite&gt;&lt;/EndNote&gt;</w:instrText>
            </w:r>
            <w:r>
              <w:rPr>
                <w:bCs/>
                <w:snapToGrid/>
                <w:sz w:val="20"/>
                <w:lang w:val="en-US"/>
              </w:rPr>
              <w:fldChar w:fldCharType="separate"/>
            </w:r>
            <w:r>
              <w:rPr>
                <w:bCs/>
                <w:noProof/>
                <w:snapToGrid/>
                <w:sz w:val="20"/>
                <w:lang w:val="en-US"/>
              </w:rPr>
              <w:t>(Knight, 2014)</w:t>
            </w:r>
            <w:r>
              <w:rPr>
                <w:bCs/>
                <w:snapToGrid/>
                <w:sz w:val="20"/>
                <w:lang w:val="en-US"/>
              </w:rPr>
              <w:fldChar w:fldCharType="end"/>
            </w:r>
          </w:p>
        </w:tc>
      </w:tr>
    </w:tbl>
    <w:p w14:paraId="276E8FEE" w14:textId="77777777" w:rsidR="00E72CA9" w:rsidRDefault="00D516E3">
      <w:pPr>
        <w:pStyle w:val="Annaddtxt"/>
        <w:tabs>
          <w:tab w:val="clear" w:pos="646"/>
          <w:tab w:val="left" w:pos="851"/>
        </w:tabs>
      </w:pPr>
      <w:r>
        <w:rPr>
          <w:noProof/>
          <w:snapToGrid/>
          <w:lang w:val="en-US" w:eastAsia="en-US"/>
        </w:rPr>
        <w:drawing>
          <wp:inline distT="0" distB="0" distL="0" distR="0" wp14:anchorId="1B48CB1D" wp14:editId="52A4EADB">
            <wp:extent cx="1417927" cy="2486386"/>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RCP-00M Skull PA.png"/>
                    <pic:cNvPicPr/>
                  </pic:nvPicPr>
                  <pic:blipFill>
                    <a:blip r:embed="rId200" cstate="email">
                      <a:extLst>
                        <a:ext uri="{28A0092B-C50C-407E-A947-70E740481C1C}">
                          <a14:useLocalDpi xmlns:a14="http://schemas.microsoft.com/office/drawing/2010/main"/>
                        </a:ext>
                      </a:extLst>
                    </a:blip>
                    <a:stretch>
                      <a:fillRect/>
                    </a:stretch>
                  </pic:blipFill>
                  <pic:spPr>
                    <a:xfrm>
                      <a:off x="0" y="0"/>
                      <a:ext cx="1427727" cy="2503571"/>
                    </a:xfrm>
                    <a:prstGeom prst="rect">
                      <a:avLst/>
                    </a:prstGeom>
                  </pic:spPr>
                </pic:pic>
              </a:graphicData>
            </a:graphic>
          </wp:inline>
        </w:drawing>
      </w:r>
      <w:r>
        <w:rPr>
          <w:noProof/>
          <w:snapToGrid/>
          <w:lang w:val="en-US" w:eastAsia="en-US"/>
        </w:rPr>
        <w:drawing>
          <wp:inline distT="0" distB="0" distL="0" distR="0" wp14:anchorId="1BD2ACCD" wp14:editId="7C3BF4C2">
            <wp:extent cx="1413803" cy="2497813"/>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RCP-00M Skull PA organs.png"/>
                    <pic:cNvPicPr/>
                  </pic:nvPicPr>
                  <pic:blipFill>
                    <a:blip r:embed="rId201" cstate="email">
                      <a:extLst>
                        <a:ext uri="{28A0092B-C50C-407E-A947-70E740481C1C}">
                          <a14:useLocalDpi xmlns:a14="http://schemas.microsoft.com/office/drawing/2010/main"/>
                        </a:ext>
                      </a:extLst>
                    </a:blip>
                    <a:stretch>
                      <a:fillRect/>
                    </a:stretch>
                  </pic:blipFill>
                  <pic:spPr>
                    <a:xfrm>
                      <a:off x="0" y="0"/>
                      <a:ext cx="1431917" cy="2529815"/>
                    </a:xfrm>
                    <a:prstGeom prst="rect">
                      <a:avLst/>
                    </a:prstGeom>
                  </pic:spPr>
                </pic:pic>
              </a:graphicData>
            </a:graphic>
          </wp:inline>
        </w:drawing>
      </w:r>
      <w:r>
        <w:rPr>
          <w:noProof/>
          <w:snapToGrid/>
          <w:lang w:val="en-US" w:eastAsia="en-US"/>
        </w:rPr>
        <w:drawing>
          <wp:inline distT="0" distB="0" distL="0" distR="0" wp14:anchorId="2329B0D6" wp14:editId="1171CD0C">
            <wp:extent cx="1316819" cy="2532120"/>
            <wp:effectExtent l="0" t="0" r="0"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RCP-01M Skull PA.png"/>
                    <pic:cNvPicPr/>
                  </pic:nvPicPr>
                  <pic:blipFill>
                    <a:blip r:embed="rId202" cstate="email">
                      <a:extLst>
                        <a:ext uri="{28A0092B-C50C-407E-A947-70E740481C1C}">
                          <a14:useLocalDpi xmlns:a14="http://schemas.microsoft.com/office/drawing/2010/main"/>
                        </a:ext>
                      </a:extLst>
                    </a:blip>
                    <a:stretch>
                      <a:fillRect/>
                    </a:stretch>
                  </pic:blipFill>
                  <pic:spPr>
                    <a:xfrm>
                      <a:off x="0" y="0"/>
                      <a:ext cx="1329598" cy="2556692"/>
                    </a:xfrm>
                    <a:prstGeom prst="rect">
                      <a:avLst/>
                    </a:prstGeom>
                  </pic:spPr>
                </pic:pic>
              </a:graphicData>
            </a:graphic>
          </wp:inline>
        </w:drawing>
      </w:r>
      <w:r>
        <w:rPr>
          <w:noProof/>
          <w:snapToGrid/>
          <w:lang w:val="en-US" w:eastAsia="en-US"/>
        </w:rPr>
        <w:drawing>
          <wp:inline distT="0" distB="0" distL="0" distR="0" wp14:anchorId="55D40DE4" wp14:editId="4325B713">
            <wp:extent cx="1336431" cy="2506525"/>
            <wp:effectExtent l="0" t="0" r="0" b="825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RCP-01M Skull PA organs.png"/>
                    <pic:cNvPicPr/>
                  </pic:nvPicPr>
                  <pic:blipFill>
                    <a:blip r:embed="rId203" cstate="email">
                      <a:extLst>
                        <a:ext uri="{28A0092B-C50C-407E-A947-70E740481C1C}">
                          <a14:useLocalDpi xmlns:a14="http://schemas.microsoft.com/office/drawing/2010/main"/>
                        </a:ext>
                      </a:extLst>
                    </a:blip>
                    <a:stretch>
                      <a:fillRect/>
                    </a:stretch>
                  </pic:blipFill>
                  <pic:spPr>
                    <a:xfrm>
                      <a:off x="0" y="0"/>
                      <a:ext cx="1349290" cy="2530642"/>
                    </a:xfrm>
                    <a:prstGeom prst="rect">
                      <a:avLst/>
                    </a:prstGeom>
                  </pic:spPr>
                </pic:pic>
              </a:graphicData>
            </a:graphic>
          </wp:inline>
        </w:drawing>
      </w:r>
    </w:p>
    <w:p w14:paraId="57945B93" w14:textId="77777777" w:rsidR="00E72CA9" w:rsidRDefault="00D516E3">
      <w:pPr>
        <w:pStyle w:val="Annaddtxt"/>
        <w:tabs>
          <w:tab w:val="clear" w:pos="646"/>
          <w:tab w:val="left" w:pos="851"/>
        </w:tabs>
        <w:rPr>
          <w:sz w:val="20"/>
        </w:rPr>
      </w:pPr>
      <w:r>
        <w:rPr>
          <w:sz w:val="20"/>
        </w:rPr>
        <w:t xml:space="preserve">                                     newborn                                                                       1-year old                  </w:t>
      </w:r>
    </w:p>
    <w:p w14:paraId="718A067E" w14:textId="77777777" w:rsidR="00E72CA9" w:rsidRDefault="00D516E3">
      <w:pPr>
        <w:pStyle w:val="Annaddtxt"/>
        <w:tabs>
          <w:tab w:val="clear" w:pos="646"/>
          <w:tab w:val="left" w:pos="851"/>
        </w:tabs>
      </w:pPr>
      <w:r>
        <w:rPr>
          <w:noProof/>
          <w:snapToGrid/>
          <w:lang w:val="en-US" w:eastAsia="en-US"/>
        </w:rPr>
        <w:drawing>
          <wp:inline distT="0" distB="0" distL="0" distR="0" wp14:anchorId="18ED262D" wp14:editId="5CDE50C1">
            <wp:extent cx="1273071" cy="2340000"/>
            <wp:effectExtent l="0" t="0" r="3810" b="317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RCP-05M Skull PA.png"/>
                    <pic:cNvPicPr/>
                  </pic:nvPicPr>
                  <pic:blipFill>
                    <a:blip r:embed="rId204" cstate="email">
                      <a:extLst>
                        <a:ext uri="{28A0092B-C50C-407E-A947-70E740481C1C}">
                          <a14:useLocalDpi xmlns:a14="http://schemas.microsoft.com/office/drawing/2010/main"/>
                        </a:ext>
                      </a:extLst>
                    </a:blip>
                    <a:stretch>
                      <a:fillRect/>
                    </a:stretch>
                  </pic:blipFill>
                  <pic:spPr>
                    <a:xfrm>
                      <a:off x="0" y="0"/>
                      <a:ext cx="1273071" cy="2340000"/>
                    </a:xfrm>
                    <a:prstGeom prst="rect">
                      <a:avLst/>
                    </a:prstGeom>
                  </pic:spPr>
                </pic:pic>
              </a:graphicData>
            </a:graphic>
          </wp:inline>
        </w:drawing>
      </w:r>
      <w:r>
        <w:rPr>
          <w:noProof/>
          <w:snapToGrid/>
          <w:lang w:val="en-US" w:eastAsia="en-US"/>
        </w:rPr>
        <w:drawing>
          <wp:inline distT="0" distB="0" distL="0" distR="0" wp14:anchorId="57CCF618" wp14:editId="6D09EBD4">
            <wp:extent cx="1251308" cy="2340000"/>
            <wp:effectExtent l="0" t="0" r="6350" b="31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RCP-05M Skull PA organs.png"/>
                    <pic:cNvPicPr/>
                  </pic:nvPicPr>
                  <pic:blipFill>
                    <a:blip r:embed="rId205" cstate="email">
                      <a:extLst>
                        <a:ext uri="{28A0092B-C50C-407E-A947-70E740481C1C}">
                          <a14:useLocalDpi xmlns:a14="http://schemas.microsoft.com/office/drawing/2010/main"/>
                        </a:ext>
                      </a:extLst>
                    </a:blip>
                    <a:stretch>
                      <a:fillRect/>
                    </a:stretch>
                  </pic:blipFill>
                  <pic:spPr>
                    <a:xfrm>
                      <a:off x="0" y="0"/>
                      <a:ext cx="1251308" cy="2340000"/>
                    </a:xfrm>
                    <a:prstGeom prst="rect">
                      <a:avLst/>
                    </a:prstGeom>
                  </pic:spPr>
                </pic:pic>
              </a:graphicData>
            </a:graphic>
          </wp:inline>
        </w:drawing>
      </w:r>
      <w:r>
        <w:rPr>
          <w:noProof/>
          <w:snapToGrid/>
          <w:lang w:val="en-US" w:eastAsia="en-US"/>
        </w:rPr>
        <w:drawing>
          <wp:inline distT="0" distB="0" distL="0" distR="0" wp14:anchorId="30A9208C" wp14:editId="63527080">
            <wp:extent cx="1623354" cy="2376000"/>
            <wp:effectExtent l="0" t="0" r="0" b="571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RCP-10M Skull PA.png"/>
                    <pic:cNvPicPr/>
                  </pic:nvPicPr>
                  <pic:blipFill>
                    <a:blip r:embed="rId206" cstate="email">
                      <a:extLst>
                        <a:ext uri="{28A0092B-C50C-407E-A947-70E740481C1C}">
                          <a14:useLocalDpi xmlns:a14="http://schemas.microsoft.com/office/drawing/2010/main"/>
                        </a:ext>
                      </a:extLst>
                    </a:blip>
                    <a:stretch>
                      <a:fillRect/>
                    </a:stretch>
                  </pic:blipFill>
                  <pic:spPr>
                    <a:xfrm>
                      <a:off x="0" y="0"/>
                      <a:ext cx="1623354" cy="2376000"/>
                    </a:xfrm>
                    <a:prstGeom prst="rect">
                      <a:avLst/>
                    </a:prstGeom>
                  </pic:spPr>
                </pic:pic>
              </a:graphicData>
            </a:graphic>
          </wp:inline>
        </w:drawing>
      </w:r>
      <w:r>
        <w:rPr>
          <w:noProof/>
          <w:snapToGrid/>
          <w:lang w:val="en-US" w:eastAsia="en-US"/>
        </w:rPr>
        <w:drawing>
          <wp:inline distT="0" distB="0" distL="0" distR="0" wp14:anchorId="6CB2CFF0" wp14:editId="22E02A8B">
            <wp:extent cx="1558703" cy="2376000"/>
            <wp:effectExtent l="0" t="0" r="3810" b="571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RCP-10M Skull PA organs.png"/>
                    <pic:cNvPicPr/>
                  </pic:nvPicPr>
                  <pic:blipFill>
                    <a:blip r:embed="rId207" cstate="email">
                      <a:extLst>
                        <a:ext uri="{28A0092B-C50C-407E-A947-70E740481C1C}">
                          <a14:useLocalDpi xmlns:a14="http://schemas.microsoft.com/office/drawing/2010/main"/>
                        </a:ext>
                      </a:extLst>
                    </a:blip>
                    <a:stretch>
                      <a:fillRect/>
                    </a:stretch>
                  </pic:blipFill>
                  <pic:spPr>
                    <a:xfrm>
                      <a:off x="0" y="0"/>
                      <a:ext cx="1558703" cy="2376000"/>
                    </a:xfrm>
                    <a:prstGeom prst="rect">
                      <a:avLst/>
                    </a:prstGeom>
                  </pic:spPr>
                </pic:pic>
              </a:graphicData>
            </a:graphic>
          </wp:inline>
        </w:drawing>
      </w:r>
    </w:p>
    <w:p w14:paraId="572805C9" w14:textId="77777777" w:rsidR="00E72CA9" w:rsidRDefault="00D516E3">
      <w:pPr>
        <w:pStyle w:val="Annaddtxt"/>
        <w:tabs>
          <w:tab w:val="clear" w:pos="646"/>
          <w:tab w:val="left" w:pos="851"/>
        </w:tabs>
        <w:rPr>
          <w:sz w:val="20"/>
        </w:rPr>
      </w:pPr>
      <w:r>
        <w:rPr>
          <w:sz w:val="20"/>
        </w:rPr>
        <w:t xml:space="preserve">                                5-year old                                                                         10-year old</w:t>
      </w:r>
    </w:p>
    <w:p w14:paraId="3572CD28" w14:textId="77777777" w:rsidR="00E72CA9" w:rsidRDefault="00E72CA9">
      <w:pPr>
        <w:pStyle w:val="Annaddtxt"/>
        <w:tabs>
          <w:tab w:val="clear" w:pos="646"/>
          <w:tab w:val="left" w:pos="851"/>
        </w:tabs>
        <w:rPr>
          <w:sz w:val="20"/>
        </w:rPr>
      </w:pPr>
    </w:p>
    <w:p w14:paraId="103548E8" w14:textId="77777777" w:rsidR="00E72CA9" w:rsidRDefault="00D516E3">
      <w:pPr>
        <w:pStyle w:val="Annaddtxt"/>
        <w:tabs>
          <w:tab w:val="clear" w:pos="646"/>
          <w:tab w:val="left" w:pos="851"/>
        </w:tabs>
        <w:rPr>
          <w:sz w:val="22"/>
        </w:rPr>
      </w:pPr>
      <w:r>
        <w:rPr>
          <w:sz w:val="22"/>
        </w:rPr>
        <w:t xml:space="preserve">Fig. B.25. Coronal images at the centre of the paediatric reference phantoms showing the anatomical landmarks for </w:t>
      </w:r>
      <w:r>
        <w:rPr>
          <w:sz w:val="22"/>
          <w:szCs w:val="22"/>
        </w:rPr>
        <w:t xml:space="preserve">skull </w:t>
      </w:r>
      <w:r>
        <w:rPr>
          <w:sz w:val="22"/>
        </w:rPr>
        <w:t xml:space="preserve">posterior-anterior (15° caudal angulation) </w:t>
      </w:r>
      <w:r>
        <w:rPr>
          <w:sz w:val="22"/>
          <w:szCs w:val="22"/>
        </w:rPr>
        <w:t>examination</w:t>
      </w:r>
      <w:r>
        <w:rPr>
          <w:sz w:val="22"/>
        </w:rPr>
        <w:t xml:space="preserve">. </w:t>
      </w:r>
      <w:r>
        <w:rPr>
          <w:sz w:val="22"/>
          <w:szCs w:val="22"/>
        </w:rPr>
        <w:t xml:space="preserve">For </w:t>
      </w:r>
      <w:r>
        <w:rPr>
          <w:bCs/>
          <w:snapToGrid/>
          <w:sz w:val="22"/>
          <w:szCs w:val="22"/>
          <w:lang w:val="en-US"/>
        </w:rPr>
        <w:t xml:space="preserve">newborn, 1-year, 5-year and 10-year old, the images for the male phantoms are shown. For 15-year old (third row), images for the male and female are shown. </w:t>
      </w:r>
      <w:r>
        <w:rPr>
          <w:sz w:val="22"/>
        </w:rPr>
        <w:t xml:space="preserve">Left to right: the first image shows only the skeletal landmarks and the second image adds the organs of interest. For the 1-year old (fourth row), the angulation of the x-ray tube for this exposure is graphically demonstrated. This is similar for all other ages </w:t>
      </w:r>
      <w:r>
        <w:rPr>
          <w:i/>
          <w:iCs/>
          <w:sz w:val="22"/>
        </w:rPr>
        <w:t>(Continued on next page)</w:t>
      </w:r>
      <w:r>
        <w:rPr>
          <w:sz w:val="22"/>
        </w:rPr>
        <w:t>.</w:t>
      </w:r>
    </w:p>
    <w:p w14:paraId="673AA9CC" w14:textId="77777777" w:rsidR="00E72CA9" w:rsidRDefault="00D516E3">
      <w:pPr>
        <w:pStyle w:val="Annaddtxt"/>
        <w:tabs>
          <w:tab w:val="clear" w:pos="646"/>
          <w:tab w:val="left" w:pos="851"/>
        </w:tabs>
      </w:pPr>
      <w:r>
        <w:rPr>
          <w:noProof/>
          <w:snapToGrid/>
          <w:lang w:val="en-US" w:eastAsia="en-US"/>
        </w:rPr>
        <w:lastRenderedPageBreak/>
        <w:drawing>
          <wp:inline distT="0" distB="0" distL="0" distR="0" wp14:anchorId="0CCCCFD2" wp14:editId="284D5D0B">
            <wp:extent cx="1443688" cy="2088000"/>
            <wp:effectExtent l="0" t="0" r="4445"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RCP-15M Skull PA.png"/>
                    <pic:cNvPicPr/>
                  </pic:nvPicPr>
                  <pic:blipFill>
                    <a:blip r:embed="rId208" cstate="email">
                      <a:extLst>
                        <a:ext uri="{28A0092B-C50C-407E-A947-70E740481C1C}">
                          <a14:useLocalDpi xmlns:a14="http://schemas.microsoft.com/office/drawing/2010/main"/>
                        </a:ext>
                      </a:extLst>
                    </a:blip>
                    <a:stretch>
                      <a:fillRect/>
                    </a:stretch>
                  </pic:blipFill>
                  <pic:spPr>
                    <a:xfrm>
                      <a:off x="0" y="0"/>
                      <a:ext cx="1443688" cy="2088000"/>
                    </a:xfrm>
                    <a:prstGeom prst="rect">
                      <a:avLst/>
                    </a:prstGeom>
                  </pic:spPr>
                </pic:pic>
              </a:graphicData>
            </a:graphic>
          </wp:inline>
        </w:drawing>
      </w:r>
      <w:r>
        <w:rPr>
          <w:noProof/>
          <w:snapToGrid/>
          <w:lang w:val="en-US" w:eastAsia="en-US"/>
        </w:rPr>
        <w:drawing>
          <wp:inline distT="0" distB="0" distL="0" distR="0" wp14:anchorId="3AF739DA" wp14:editId="39732548">
            <wp:extent cx="1454144" cy="2088000"/>
            <wp:effectExtent l="0" t="0" r="0"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CP-15M Skull PA organs.png"/>
                    <pic:cNvPicPr/>
                  </pic:nvPicPr>
                  <pic:blipFill>
                    <a:blip r:embed="rId209" cstate="email">
                      <a:extLst>
                        <a:ext uri="{28A0092B-C50C-407E-A947-70E740481C1C}">
                          <a14:useLocalDpi xmlns:a14="http://schemas.microsoft.com/office/drawing/2010/main"/>
                        </a:ext>
                      </a:extLst>
                    </a:blip>
                    <a:stretch>
                      <a:fillRect/>
                    </a:stretch>
                  </pic:blipFill>
                  <pic:spPr>
                    <a:xfrm>
                      <a:off x="0" y="0"/>
                      <a:ext cx="1454144" cy="2088000"/>
                    </a:xfrm>
                    <a:prstGeom prst="rect">
                      <a:avLst/>
                    </a:prstGeom>
                  </pic:spPr>
                </pic:pic>
              </a:graphicData>
            </a:graphic>
          </wp:inline>
        </w:drawing>
      </w:r>
      <w:r>
        <w:rPr>
          <w:noProof/>
          <w:snapToGrid/>
          <w:lang w:val="en-US" w:eastAsia="en-US"/>
        </w:rPr>
        <w:drawing>
          <wp:inline distT="0" distB="0" distL="0" distR="0" wp14:anchorId="116A00C5" wp14:editId="2AAC2F3A">
            <wp:extent cx="1356684" cy="2088000"/>
            <wp:effectExtent l="0" t="0" r="0"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RCP-15F Skull PA.png"/>
                    <pic:cNvPicPr/>
                  </pic:nvPicPr>
                  <pic:blipFill>
                    <a:blip r:embed="rId210" cstate="email">
                      <a:extLst>
                        <a:ext uri="{28A0092B-C50C-407E-A947-70E740481C1C}">
                          <a14:useLocalDpi xmlns:a14="http://schemas.microsoft.com/office/drawing/2010/main"/>
                        </a:ext>
                      </a:extLst>
                    </a:blip>
                    <a:stretch>
                      <a:fillRect/>
                    </a:stretch>
                  </pic:blipFill>
                  <pic:spPr>
                    <a:xfrm>
                      <a:off x="0" y="0"/>
                      <a:ext cx="1356684" cy="2088000"/>
                    </a:xfrm>
                    <a:prstGeom prst="rect">
                      <a:avLst/>
                    </a:prstGeom>
                  </pic:spPr>
                </pic:pic>
              </a:graphicData>
            </a:graphic>
          </wp:inline>
        </w:drawing>
      </w:r>
      <w:r>
        <w:rPr>
          <w:noProof/>
          <w:snapToGrid/>
          <w:lang w:val="en-US" w:eastAsia="en-US"/>
        </w:rPr>
        <w:drawing>
          <wp:inline distT="0" distB="0" distL="0" distR="0" wp14:anchorId="2A9C9D9C" wp14:editId="555745D5">
            <wp:extent cx="1427375" cy="2088000"/>
            <wp:effectExtent l="0" t="0" r="1905"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RCP-15F Skull PA organs.png"/>
                    <pic:cNvPicPr/>
                  </pic:nvPicPr>
                  <pic:blipFill>
                    <a:blip r:embed="rId211" cstate="email">
                      <a:extLst>
                        <a:ext uri="{28A0092B-C50C-407E-A947-70E740481C1C}">
                          <a14:useLocalDpi xmlns:a14="http://schemas.microsoft.com/office/drawing/2010/main"/>
                        </a:ext>
                      </a:extLst>
                    </a:blip>
                    <a:stretch>
                      <a:fillRect/>
                    </a:stretch>
                  </pic:blipFill>
                  <pic:spPr>
                    <a:xfrm>
                      <a:off x="0" y="0"/>
                      <a:ext cx="1427375" cy="2088000"/>
                    </a:xfrm>
                    <a:prstGeom prst="rect">
                      <a:avLst/>
                    </a:prstGeom>
                  </pic:spPr>
                </pic:pic>
              </a:graphicData>
            </a:graphic>
          </wp:inline>
        </w:drawing>
      </w:r>
    </w:p>
    <w:p w14:paraId="5090D5D1" w14:textId="77777777" w:rsidR="00E72CA9" w:rsidRDefault="00D516E3">
      <w:pPr>
        <w:pStyle w:val="Annaddtxt"/>
        <w:tabs>
          <w:tab w:val="clear" w:pos="646"/>
          <w:tab w:val="left" w:pos="851"/>
        </w:tabs>
        <w:rPr>
          <w:sz w:val="20"/>
        </w:rPr>
      </w:pPr>
      <w:r>
        <w:rPr>
          <w:sz w:val="20"/>
        </w:rPr>
        <w:t xml:space="preserve">                             15-year male                                                      15-year female</w:t>
      </w:r>
    </w:p>
    <w:p w14:paraId="5F67A38B" w14:textId="77777777" w:rsidR="00E72CA9" w:rsidRDefault="00E72CA9">
      <w:pPr>
        <w:pStyle w:val="Annaddtxt"/>
        <w:tabs>
          <w:tab w:val="clear" w:pos="646"/>
          <w:tab w:val="left" w:pos="851"/>
        </w:tabs>
      </w:pPr>
    </w:p>
    <w:p w14:paraId="25F9E590" w14:textId="77777777" w:rsidR="00E72CA9" w:rsidRDefault="00E72CA9"/>
    <w:p w14:paraId="7EE88586" w14:textId="77777777" w:rsidR="00E72CA9" w:rsidRDefault="00D516E3">
      <w:pPr>
        <w:jc w:val="center"/>
      </w:pPr>
      <w:r>
        <w:rPr>
          <w:noProof/>
        </w:rPr>
        <w:drawing>
          <wp:inline distT="0" distB="0" distL="0" distR="0" wp14:anchorId="101EE641" wp14:editId="0C741858">
            <wp:extent cx="5943600" cy="3387382"/>
            <wp:effectExtent l="0" t="0" r="0" b="3810"/>
            <wp:docPr id="20331505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5943600" cy="3387382"/>
                    </a:xfrm>
                    <a:prstGeom prst="rect">
                      <a:avLst/>
                    </a:prstGeom>
                    <a:noFill/>
                    <a:ln>
                      <a:noFill/>
                    </a:ln>
                  </pic:spPr>
                </pic:pic>
              </a:graphicData>
            </a:graphic>
          </wp:inline>
        </w:drawing>
      </w:r>
    </w:p>
    <w:p w14:paraId="39575912" w14:textId="77777777" w:rsidR="00E72CA9" w:rsidRDefault="00D516E3">
      <w:pPr>
        <w:pStyle w:val="Annalstext"/>
        <w:tabs>
          <w:tab w:val="clear" w:pos="502"/>
        </w:tabs>
        <w:spacing w:after="240"/>
        <w:ind w:left="284" w:firstLine="0"/>
        <w:jc w:val="left"/>
        <w:rPr>
          <w:b/>
          <w:sz w:val="20"/>
        </w:rPr>
      </w:pPr>
      <w:r>
        <w:rPr>
          <w:sz w:val="20"/>
        </w:rPr>
        <w:t xml:space="preserve">                         1-year old</w:t>
      </w:r>
    </w:p>
    <w:p w14:paraId="6700D6E3" w14:textId="77777777" w:rsidR="00E72CA9" w:rsidRDefault="00D516E3">
      <w:pPr>
        <w:pStyle w:val="Annaddtxt"/>
        <w:tabs>
          <w:tab w:val="clear" w:pos="646"/>
          <w:tab w:val="left" w:pos="851"/>
        </w:tabs>
        <w:rPr>
          <w:sz w:val="22"/>
        </w:rPr>
      </w:pPr>
      <w:bookmarkStart w:id="211" w:name="_Hlk158790888"/>
      <w:r>
        <w:rPr>
          <w:sz w:val="22"/>
        </w:rPr>
        <w:t xml:space="preserve">Fig. B.25. </w:t>
      </w:r>
      <w:r>
        <w:rPr>
          <w:i/>
          <w:iCs/>
          <w:sz w:val="22"/>
        </w:rPr>
        <w:t>(Continued)</w:t>
      </w:r>
    </w:p>
    <w:bookmarkEnd w:id="211"/>
    <w:p w14:paraId="2640AA05" w14:textId="77777777" w:rsidR="00E72CA9" w:rsidRDefault="00E72CA9">
      <w:pPr>
        <w:jc w:val="both"/>
        <w:rPr>
          <w:sz w:val="22"/>
        </w:rPr>
      </w:pPr>
    </w:p>
    <w:p w14:paraId="19C73658" w14:textId="77777777" w:rsidR="00E72CA9" w:rsidRDefault="00D516E3">
      <w:pPr>
        <w:pStyle w:val="ICRPannexheading2"/>
        <w:numPr>
          <w:ilvl w:val="1"/>
          <w:numId w:val="25"/>
        </w:numPr>
        <w:tabs>
          <w:tab w:val="clear" w:pos="851"/>
          <w:tab w:val="left" w:pos="567"/>
        </w:tabs>
        <w:spacing w:before="240"/>
        <w:ind w:hanging="860"/>
        <w:outlineLvl w:val="1"/>
        <w:rPr>
          <w:szCs w:val="28"/>
        </w:rPr>
      </w:pPr>
      <w:bookmarkStart w:id="212" w:name="_Toc165302064"/>
      <w:r>
        <w:rPr>
          <w:rFonts w:hint="eastAsia"/>
          <w:bCs/>
          <w:szCs w:val="28"/>
          <w:lang w:eastAsia="ja-JP"/>
        </w:rPr>
        <w:t>Reference</w:t>
      </w:r>
      <w:bookmarkEnd w:id="212"/>
    </w:p>
    <w:p w14:paraId="0A7C8E1C" w14:textId="77777777" w:rsidR="00E72CA9" w:rsidRDefault="00D516E3">
      <w:pPr>
        <w:pStyle w:val="EndNoteBibliography"/>
        <w:ind w:left="720" w:hanging="720"/>
        <w:rPr>
          <w:sz w:val="20"/>
        </w:rPr>
      </w:pPr>
      <w:r>
        <w:fldChar w:fldCharType="begin"/>
      </w:r>
      <w:r>
        <w:instrText xml:space="preserve"> ADDIN EN.REFLIST </w:instrText>
      </w:r>
      <w:r>
        <w:fldChar w:fldCharType="separate"/>
      </w:r>
      <w:r>
        <w:rPr>
          <w:sz w:val="20"/>
        </w:rPr>
        <w:t>Knight, S.P., 2014. A paediatric X-ray exposure chart. J. Med. Radiat. Sci.  61, 191–201.</w:t>
      </w:r>
    </w:p>
    <w:p w14:paraId="67648E3A" w14:textId="77777777" w:rsidR="00E72CA9" w:rsidRDefault="00D516E3">
      <w:r>
        <w:fldChar w:fldCharType="end"/>
      </w:r>
      <w:r>
        <w:br w:type="page"/>
      </w:r>
    </w:p>
    <w:p w14:paraId="17B140E8" w14:textId="77777777" w:rsidR="00E72CA9" w:rsidRDefault="00D516E3">
      <w:pPr>
        <w:pStyle w:val="ICRPannexheading1"/>
        <w:outlineLvl w:val="0"/>
      </w:pPr>
      <w:bookmarkStart w:id="213" w:name="_Hlk138147231"/>
      <w:bookmarkStart w:id="214" w:name="_Toc158293350"/>
      <w:bookmarkStart w:id="215" w:name="_Toc158293676"/>
      <w:bookmarkStart w:id="216" w:name="_Toc165302065"/>
      <w:bookmarkStart w:id="217" w:name="_Hlk136441580"/>
      <w:r>
        <w:lastRenderedPageBreak/>
        <w:t>Application of skeletal fluence-to-dose response functions for photons in Monte Carlo radiation transport codes</w:t>
      </w:r>
      <w:bookmarkEnd w:id="213"/>
      <w:bookmarkEnd w:id="214"/>
      <w:bookmarkEnd w:id="215"/>
      <w:bookmarkEnd w:id="216"/>
    </w:p>
    <w:p w14:paraId="0613C519" w14:textId="77777777" w:rsidR="00E72CA9" w:rsidRDefault="00D516E3">
      <w:pPr>
        <w:pStyle w:val="ICRPannexheading2"/>
        <w:tabs>
          <w:tab w:val="clear" w:pos="851"/>
          <w:tab w:val="left" w:pos="567"/>
        </w:tabs>
        <w:ind w:left="567" w:hanging="567"/>
        <w:outlineLvl w:val="1"/>
      </w:pPr>
      <w:bookmarkStart w:id="218" w:name="_Toc165302066"/>
      <w:bookmarkStart w:id="219" w:name="_Hlk136517909"/>
      <w:bookmarkEnd w:id="217"/>
      <w:r>
        <w:t xml:space="preserve">Skeletal dosimetry method of ICRP </w:t>
      </w:r>
      <w:r>
        <w:rPr>
          <w:i/>
        </w:rPr>
        <w:t>Publication</w:t>
      </w:r>
      <w:r>
        <w:t xml:space="preserve"> 116</w:t>
      </w:r>
      <w:bookmarkEnd w:id="218"/>
    </w:p>
    <w:p w14:paraId="3F7D0821" w14:textId="77777777" w:rsidR="00E72CA9" w:rsidRDefault="00D516E3">
      <w:pPr>
        <w:pStyle w:val="ICRPannexparagraph"/>
        <w:ind w:left="0"/>
      </w:pPr>
      <w:r>
        <w:t>Bone dosimetry is different from dosimetry of other organs, for which the average absorbed dose in the whole organ is estimated. For bone dosimetry the active marrow (AM) dose, associated to the risk of ionising radiation-induced leukaemia and the endosteum (TM</w:t>
      </w:r>
      <w:r>
        <w:rPr>
          <w:vertAlign w:val="subscript"/>
        </w:rPr>
        <w:t>50</w:t>
      </w:r>
      <w:r>
        <w:t>) dose, associated to the risk of ionising radiation induced bone cancer is needed. These bone tissues reside in the skeletal spongiosa and medullary cavity. The spongiosa bone compartment consists of active marrow, inactive marrow, and trabecular bone in a spongious structure with dimensions of tens to hundreds micrometre range (Hough and Bolch, 2007; Hough et al., 2011).</w:t>
      </w:r>
      <w:r>
        <w:rPr>
          <w:rFonts w:hint="eastAsia"/>
        </w:rPr>
        <w:t xml:space="preserve"> </w:t>
      </w:r>
    </w:p>
    <w:p w14:paraId="3AADAEBC" w14:textId="77777777" w:rsidR="00E72CA9" w:rsidRDefault="00D516E3">
      <w:pPr>
        <w:pStyle w:val="ICRPannexparagraph"/>
        <w:ind w:left="0"/>
      </w:pPr>
      <w:r>
        <w:t xml:space="preserve">According to the current ICRP recommendations (ICRP, 2007), the absorbed dose to different target tissues has to be assessed in the computation of the effective dose. These include the haematopoietically active bone marrow, and the skeletal endosteum. The former target region is taken as the non-adipose region of the bone marrow cavities within both spongiosa and medullary marrow cavities of the phantom skeleton, while the latter target region is taken to be the total marrow, localised within 50 </w:t>
      </w:r>
      <w:proofErr w:type="spellStart"/>
      <w:r>
        <w:t>μm</w:t>
      </w:r>
      <w:proofErr w:type="spellEnd"/>
      <w:r>
        <w:t xml:space="preserve"> of the bone trabeculae surfaces (TM</w:t>
      </w:r>
      <w:r>
        <w:rPr>
          <w:vertAlign w:val="subscript"/>
        </w:rPr>
        <w:t>50</w:t>
      </w:r>
      <w:r>
        <w:t xml:space="preserve">) and along the interior surfaces of the long bone medullary cavities. As described in </w:t>
      </w:r>
      <w:r>
        <w:rPr>
          <w:i/>
        </w:rPr>
        <w:t>Publications 110</w:t>
      </w:r>
      <w:r>
        <w:t xml:space="preserve"> and </w:t>
      </w:r>
      <w:r>
        <w:rPr>
          <w:i/>
        </w:rPr>
        <w:t>116</w:t>
      </w:r>
      <w:r>
        <w:t xml:space="preserve"> (ICRP, 2009, 2010), the bone trabeculae and marrow cavities are tissue structures of the order of tens to hundreds of micrometres of thickness and extent, and thus cannot be fully modelled within the voxel resolution of either the reference adult or paediatric phantoms. </w:t>
      </w:r>
    </w:p>
    <w:p w14:paraId="3415267C" w14:textId="77777777" w:rsidR="00E72CA9" w:rsidRDefault="00D516E3">
      <w:pPr>
        <w:pStyle w:val="ICRPannexparagraph"/>
        <w:tabs>
          <w:tab w:val="clear" w:pos="1004"/>
          <w:tab w:val="num" w:pos="862"/>
        </w:tabs>
        <w:ind w:left="0"/>
      </w:pPr>
      <w:r>
        <w:t>The</w:t>
      </w:r>
      <w:r>
        <w:rPr>
          <w:iCs/>
          <w:color w:val="0070C0"/>
        </w:rPr>
        <w:t xml:space="preserve"> </w:t>
      </w:r>
      <w:r>
        <w:rPr>
          <w:iCs/>
        </w:rPr>
        <w:t xml:space="preserve">marrow dose is enhanced because there are more photoelectric events in the trabecular bone (due to their higher atomic number Z) than in the marrow (lower Z), increasing the overall electron fluence from the trabecular bone into the marrow cavity, which consequently increases the marrow absorbed dose, compared to the situation of assumed secondary electron equilibrium. To address this Johnson et al </w:t>
      </w:r>
      <w:r>
        <w:rPr>
          <w:iCs/>
        </w:rPr>
        <w:fldChar w:fldCharType="begin"/>
      </w:r>
      <w:r>
        <w:rPr>
          <w:iCs/>
        </w:rPr>
        <w:instrText xml:space="preserve"> ADDIN EN.CITE &lt;EndNote&gt;&lt;Cite ExcludeAuth="1"&gt;&lt;Author&gt;Johnson&lt;/Author&gt;&lt;Year&gt;2011&lt;/Year&gt;&lt;RecNum&gt;8932&lt;/RecNum&gt;&lt;DisplayText&gt;(2011)&lt;/DisplayText&gt;&lt;record&gt;&lt;rec-number&gt;8932&lt;/rec-number&gt;&lt;foreign-keys&gt;&lt;key app="EN" db-id="rss5s0wzrpx9pwe5a0h5a9wkx9sf2zexde9d" timestamp="0"&gt;8932&lt;/key&gt;&lt;/foreign-keys&gt;&lt;ref-type name="Journal Article"&gt;17&lt;/ref-type&gt;&lt;contributors&gt;&lt;authors&gt;&lt;author&gt;Johnson, Perry B. &lt;/author&gt;&lt;author&gt;Bahadori, Amir A. &lt;/author&gt;&lt;author&gt;Eckerman, Keith F. &lt;/author&gt;&lt;author&gt;Lee, Choonsik &lt;/author&gt;&lt;author&gt;Bolch, Wesley E. &lt;/author&gt;&lt;/authors&gt;&lt;/contributors&gt;&lt;titles&gt;&lt;title&gt;&lt;style face="normal" font="default" size="100%"&gt;Response functions for computing absorbed dose to skeletal tissues from photon irradiation &lt;/style&gt;&lt;style face="normal" font="Symbol" charset="2" size="100%"&gt;-&lt;/style&gt;&lt;style face="normal" font="default" size="100%"&gt; an update&lt;/style&gt;&lt;/title&gt;&lt;secondary-title&gt;Physics in Medicine and Biology&lt;/secondary-title&gt;&lt;/titles&gt;&lt;pages&gt;2347–2365&lt;/pages&gt;&lt;volume&gt;56&lt;/volume&gt;&lt;number&gt;8&lt;/number&gt;&lt;dates&gt;&lt;year&gt;2011&lt;/year&gt;&lt;/dates&gt;&lt;isbn&gt;0031-9155&lt;/isbn&gt;&lt;urls&gt;&lt;related-urls&gt;&lt;url&gt;http://stacks.iop.org/0031-9155/56/i=8/a=002 &lt;/url&gt;&lt;/related-urls&gt;&lt;/urls&gt;&lt;/record&gt;&lt;/Cite&gt;&lt;/EndNote&gt;</w:instrText>
      </w:r>
      <w:r>
        <w:rPr>
          <w:iCs/>
        </w:rPr>
        <w:fldChar w:fldCharType="separate"/>
      </w:r>
      <w:r>
        <w:rPr>
          <w:iCs/>
          <w:noProof/>
        </w:rPr>
        <w:t>(2011)</w:t>
      </w:r>
      <w:r>
        <w:rPr>
          <w:iCs/>
        </w:rPr>
        <w:fldChar w:fldCharType="end"/>
      </w:r>
      <w:r>
        <w:rPr>
          <w:iCs/>
        </w:rPr>
        <w:t xml:space="preserve"> calculated photon fluence-to-dose response functions (DRF) and dose enhancement factors (DEF) for an adult person using radiation transport methods in various bones, reconstructed by three-</w:t>
      </w:r>
      <w:proofErr w:type="spellStart"/>
      <w:r>
        <w:rPr>
          <w:iCs/>
        </w:rPr>
        <w:t>dimentioanl</w:t>
      </w:r>
      <w:proofErr w:type="spellEnd"/>
      <w:r>
        <w:rPr>
          <w:iCs/>
        </w:rPr>
        <w:t xml:space="preserve"> (3D) micro computed tomography (CT) images.</w:t>
      </w:r>
    </w:p>
    <w:p w14:paraId="2A7221C3" w14:textId="77777777" w:rsidR="00E72CA9" w:rsidRDefault="00D516E3">
      <w:pPr>
        <w:pStyle w:val="ICRPannexparagraph"/>
        <w:tabs>
          <w:tab w:val="clear" w:pos="1004"/>
          <w:tab w:val="num" w:pos="862"/>
        </w:tabs>
        <w:ind w:left="0"/>
        <w:rPr>
          <w:szCs w:val="24"/>
        </w:rPr>
      </w:pPr>
      <w:r>
        <w:t xml:space="preserve">Consequently, absorbed and equivalent dose to these two target tissues are determined employing the concept of the DRF or DEF for photons as described in Annex D of </w:t>
      </w:r>
      <w:r>
        <w:rPr>
          <w:i/>
        </w:rPr>
        <w:t>Publication</w:t>
      </w:r>
      <w:r>
        <w:t xml:space="preserve"> </w:t>
      </w:r>
      <w:r>
        <w:rPr>
          <w:i/>
        </w:rPr>
        <w:t>116</w:t>
      </w:r>
      <w:r>
        <w:t xml:space="preserve"> (ICRP, 2010). </w:t>
      </w:r>
      <w:r>
        <w:rPr>
          <w:color w:val="000000"/>
          <w:szCs w:val="24"/>
        </w:rPr>
        <w:t xml:space="preserve">Further detail on skeletal dosimetry can be found in </w:t>
      </w:r>
      <w:r>
        <w:rPr>
          <w:i/>
          <w:szCs w:val="24"/>
        </w:rPr>
        <w:t>Publication 144</w:t>
      </w:r>
      <w:r>
        <w:rPr>
          <w:szCs w:val="24"/>
        </w:rPr>
        <w:t xml:space="preserve"> </w:t>
      </w:r>
      <w:r>
        <w:rPr>
          <w:szCs w:val="24"/>
        </w:rPr>
        <w:fldChar w:fldCharType="begin"/>
      </w:r>
      <w:r>
        <w:rPr>
          <w:szCs w:val="24"/>
        </w:rPr>
        <w:instrText xml:space="preserve"> ADDIN EN.CITE &lt;EndNote&gt;&lt;Cite&gt;&lt;Author&gt;ICRP&lt;/Author&gt;&lt;Year&gt;2020&lt;/Year&gt;&lt;RecNum&gt;11822&lt;/RecNum&gt;&lt;DisplayText&gt;(ICRP, 2020b)&lt;/DisplayText&gt;&lt;record&gt;&lt;rec-number&gt;11822&lt;/rec-number&gt;&lt;foreign-keys&gt;&lt;key app="EN" db-id="rss5s0wzrpx9pwe5a0h5a9wkx9sf2zexde9d" timestamp="1612882713"&gt;11822&lt;/key&gt;&lt;/foreign-keys&gt;&lt;ref-type name="Journal Article"&gt;17&lt;/ref-type&gt;&lt;contributors&gt;&lt;authors&gt;&lt;author&gt;ICRP,&lt;/author&gt;&lt;/authors&gt;&lt;secondary-authors&gt;&lt;author&gt;Sage&lt;/author&gt;&lt;/secondary-authors&gt;&lt;/contributors&gt;&lt;titles&gt;&lt;title&gt;Dose coefficients for external exposures to environmental sources. ICRP Publication 144&lt;/title&gt;&lt;secondary-title&gt;Annals of the ICRP&lt;/secondary-title&gt;&lt;/titles&gt;&lt;periodical&gt;&lt;full-title&gt;Annals of the ICRP&lt;/full-title&gt;&lt;abbr-1&gt;Ann. ICRP&lt;/abbr-1&gt;&lt;abbr-2&gt;Ann ICRP&lt;/abbr-2&gt;&lt;/periodical&gt;&lt;volume&gt;49&lt;/volume&gt;&lt;number&gt;2&lt;/number&gt;&lt;dates&gt;&lt;year&gt;2020&lt;/year&gt;&lt;/dates&gt;&lt;publisher&gt;International Commission of Radiological Protection&lt;/publisher&gt;&lt;work-type&gt;ICRP Publication&lt;/work-type&gt;&lt;urls&gt;&lt;/urls&gt;&lt;/record&gt;&lt;/Cite&gt;&lt;/EndNote&gt;</w:instrText>
      </w:r>
      <w:r>
        <w:rPr>
          <w:szCs w:val="24"/>
        </w:rPr>
        <w:fldChar w:fldCharType="separate"/>
      </w:r>
      <w:r>
        <w:rPr>
          <w:noProof/>
          <w:szCs w:val="24"/>
        </w:rPr>
        <w:t>(ICRP, 2020)</w:t>
      </w:r>
      <w:r>
        <w:rPr>
          <w:szCs w:val="24"/>
        </w:rPr>
        <w:fldChar w:fldCharType="end"/>
      </w:r>
      <w:r>
        <w:rPr>
          <w:szCs w:val="24"/>
        </w:rPr>
        <w:t>.</w:t>
      </w:r>
    </w:p>
    <w:p w14:paraId="778610F3" w14:textId="77777777" w:rsidR="00E72CA9" w:rsidRDefault="00D516E3">
      <w:pPr>
        <w:pStyle w:val="ICRPannexparagraph"/>
        <w:tabs>
          <w:tab w:val="clear" w:pos="1004"/>
          <w:tab w:val="num" w:pos="862"/>
        </w:tabs>
        <w:ind w:left="0"/>
      </w:pPr>
      <w:r>
        <w:rPr>
          <w:iCs/>
        </w:rPr>
        <w:t>ICRP</w:t>
      </w:r>
      <w:r>
        <w:rPr>
          <w:i/>
        </w:rPr>
        <w:t xml:space="preserve"> Publication 116</w:t>
      </w:r>
      <w:r>
        <w:t xml:space="preserve"> includes 2 annexes on skeletal dosimetry of the adult male and female phantoms for photons and neutrons, respectively. The annex dealing with photons briefly explains the method of calculation of DRF and consequently of DEF, and provides tables of these values. Similar techniques for application to the paediatric reference  phantoms have been developed and the respective values of DRF can be found at the ICRP </w:t>
      </w:r>
      <w:r>
        <w:rPr>
          <w:i/>
          <w:iCs/>
        </w:rPr>
        <w:t>P</w:t>
      </w:r>
      <w:r>
        <w:rPr>
          <w:i/>
        </w:rPr>
        <w:t xml:space="preserve">ublication </w:t>
      </w:r>
      <w:r>
        <w:rPr>
          <w:i/>
          <w:iCs/>
        </w:rPr>
        <w:t xml:space="preserve">155 </w:t>
      </w:r>
      <w:r>
        <w:fldChar w:fldCharType="begin"/>
      </w:r>
      <w:r>
        <w:instrText xml:space="preserve"> ADDIN EN.CITE &lt;EndNote&gt;&lt;Cite ExcludeAuth="1"&gt;&lt;Author&gt;ICRP&lt;/Author&gt;&lt;Year&gt;2024&lt;/Year&gt;&lt;RecNum&gt;12496&lt;/RecNum&gt;&lt;DisplayText&gt;(2024b)&lt;/DisplayText&gt;&lt;record&gt;&lt;rec-number&gt;12496&lt;/rec-number&gt;&lt;foreign-keys&gt;&lt;key app="EN" db-id="rss5s0wzrpx9pwe5a0h5a9wkx9sf2zexde9d" timestamp="1706192152"&gt;12496&lt;/key&gt;&lt;/foreign-keys&gt;&lt;ref-type name="Journal Article"&gt;17&lt;/ref-type&gt;&lt;contributors&gt;&lt;authors&gt;&lt;author&gt;ICRP&lt;/author&gt;&lt;/authors&gt;&lt;/contributors&gt;&lt;titles&gt;&lt;title&gt;Specific Absorbed Fractions for Paediatric Individuals. ICRP Publication 155.&lt;/title&gt;&lt;secondary-title&gt;Annals of the ICRP&lt;/secondary-title&gt;&lt;/titles&gt;&lt;periodical&gt;&lt;full-title&gt;Annals of the ICRP&lt;/full-title&gt;&lt;abbr-1&gt;Ann. ICRP&lt;/abbr-1&gt;&lt;abbr-2&gt;Ann ICRP&lt;/abbr-2&gt;&lt;/periodical&gt;&lt;volume&gt;xx&lt;/volume&gt;&lt;dates&gt;&lt;year&gt;2024&lt;/year&gt;&lt;/dates&gt;&lt;urls&gt;&lt;/urls&gt;&lt;/record&gt;&lt;/Cite&gt;&lt;/EndNote&gt;</w:instrText>
      </w:r>
      <w:r>
        <w:fldChar w:fldCharType="separate"/>
      </w:r>
      <w:r>
        <w:rPr>
          <w:noProof/>
        </w:rPr>
        <w:t>(2024)</w:t>
      </w:r>
      <w:r>
        <w:fldChar w:fldCharType="end"/>
      </w:r>
      <w:r>
        <w:t xml:space="preserve"> as part of the electronic supplement and are based on work of Pafundi et al. </w:t>
      </w:r>
      <w:r>
        <w:fldChar w:fldCharType="begin"/>
      </w:r>
      <w:r>
        <w:instrText xml:space="preserve"> ADDIN EN.CITE &lt;EndNote&gt;&lt;Cite ExcludeAuth="1"&gt;&lt;Author&gt;Pafundi&lt;/Author&gt;&lt;Year&gt;2010&lt;/Year&gt;&lt;RecNum&gt;6598&lt;/RecNum&gt;&lt;DisplayText&gt;(2010)&lt;/DisplayText&gt;&lt;record&gt;&lt;rec-number&gt;6598&lt;/rec-number&gt;&lt;foreign-keys&gt;&lt;key app="EN" db-id="rss5s0wzrpx9pwe5a0h5a9wkx9sf2zexde9d" timestamp="0"&gt;6598&lt;/key&gt;&lt;/foreign-keys&gt;&lt;ref-type name="Journal Article"&gt;17&lt;/ref-type&gt;&lt;contributors&gt;&lt;authors&gt;&lt;author&gt;Pafundi, Deanna&lt;/author&gt;&lt;author&gt;Rajon, Didier&lt;/author&gt;&lt;author&gt;Jokisch, Derek&lt;/author&gt;&lt;author&gt;Lee, Choonsik&lt;/author&gt;&lt;author&gt;Bolch, Wesley&lt;/author&gt;&lt;/authors&gt;&lt;/contributors&gt;&lt;titles&gt;&lt;title&gt;An image-based skeletal dosimetry model for the ICRP reference newborn:internal electron sources&lt;/title&gt;&lt;secondary-title&gt;Physics in Medicine and Biology&lt;/secondary-title&gt;&lt;/titles&gt;&lt;pages&gt;1785-1814&lt;/pages&gt;&lt;volume&gt;55&lt;/volume&gt;&lt;number&gt;7&lt;/number&gt;&lt;dates&gt;&lt;year&gt;2010&lt;/year&gt;&lt;/dates&gt;&lt;isbn&gt;0031-9155&lt;/isbn&gt;&lt;urls&gt;&lt;related-urls&gt;&lt;url&gt;http://stacks.iop.org/0031-9155/55/i=7/a=002 &lt;/url&gt;&lt;/related-urls&gt;&lt;/urls&gt;&lt;/record&gt;&lt;/Cite&gt;&lt;/EndNote&gt;</w:instrText>
      </w:r>
      <w:r>
        <w:fldChar w:fldCharType="separate"/>
      </w:r>
      <w:r>
        <w:rPr>
          <w:noProof/>
        </w:rPr>
        <w:t>(2010)</w:t>
      </w:r>
      <w:r>
        <w:fldChar w:fldCharType="end"/>
      </w:r>
      <w:r>
        <w:t xml:space="preserve"> and Wayson et al. (2012). The DRF of the adult phantoms applied for the calculations of the present publication are those appearing in ICRP </w:t>
      </w:r>
      <w:r>
        <w:rPr>
          <w:i/>
        </w:rPr>
        <w:t>Publication</w:t>
      </w:r>
      <w:r>
        <w:t xml:space="preserve"> </w:t>
      </w:r>
      <w:r>
        <w:rPr>
          <w:i/>
        </w:rPr>
        <w:t xml:space="preserve">116 </w:t>
      </w:r>
      <w:r>
        <w:t xml:space="preserve">[based on Johnson et al. </w:t>
      </w:r>
      <w:r>
        <w:fldChar w:fldCharType="begin"/>
      </w:r>
      <w:r>
        <w:instrText xml:space="preserve"> ADDIN EN.CITE &lt;EndNote&gt;&lt;Cite ExcludeAuth="1"&gt;&lt;Author&gt;Johnson&lt;/Author&gt;&lt;Year&gt;2011&lt;/Year&gt;&lt;RecNum&gt;8932&lt;/RecNum&gt;&lt;DisplayText&gt;(2011)&lt;/DisplayText&gt;&lt;record&gt;&lt;rec-number&gt;8932&lt;/rec-number&gt;&lt;foreign-keys&gt;&lt;key app="EN" db-id="rss5s0wzrpx9pwe5a0h5a9wkx9sf2zexde9d" timestamp="0"&gt;8932&lt;/key&gt;&lt;/foreign-keys&gt;&lt;ref-type name="Journal Article"&gt;17&lt;/ref-type&gt;&lt;contributors&gt;&lt;authors&gt;&lt;author&gt;Johnson, Perry B. &lt;/author&gt;&lt;author&gt;Bahadori, Amir A. &lt;/author&gt;&lt;author&gt;Eckerman, Keith F. &lt;/author&gt;&lt;author&gt;Lee, Choonsik &lt;/author&gt;&lt;author&gt;Bolch, Wesley E. &lt;/author&gt;&lt;/authors&gt;&lt;/contributors&gt;&lt;titles&gt;&lt;title&gt;&lt;style face="normal" font="default" size="100%"&gt;Response functions for computing absorbed dose to skeletal tissues from photon irradiation &lt;/style&gt;&lt;style face="normal" font="Symbol" charset="2" size="100%"&gt;-&lt;/style&gt;&lt;style face="normal" font="default" size="100%"&gt; an update&lt;/style&gt;&lt;/title&gt;&lt;secondary-title&gt;Physics in Medicine and Biology&lt;/secondary-title&gt;&lt;/titles&gt;&lt;pages&gt;2347–2365&lt;/pages&gt;&lt;volume&gt;56&lt;/volume&gt;&lt;number&gt;8&lt;/number&gt;&lt;dates&gt;&lt;year&gt;2011&lt;/year&gt;&lt;/dates&gt;&lt;isbn&gt;0031-9155&lt;/isbn&gt;&lt;urls&gt;&lt;related-urls&gt;&lt;url&gt;http://stacks.iop.org/0031-9155/56/i=8/a=002 &lt;/url&gt;&lt;/related-urls&gt;&lt;/urls&gt;&lt;/record&gt;&lt;/Cite&gt;&lt;/EndNote&gt;</w:instrText>
      </w:r>
      <w:r>
        <w:fldChar w:fldCharType="separate"/>
      </w:r>
      <w:r>
        <w:rPr>
          <w:noProof/>
        </w:rPr>
        <w:t>(2011)</w:t>
      </w:r>
      <w:r>
        <w:fldChar w:fldCharType="end"/>
      </w:r>
      <w:r>
        <w:t>] with some slight revisions which will be shortly described below.</w:t>
      </w:r>
    </w:p>
    <w:p w14:paraId="6D4535AF" w14:textId="77777777" w:rsidR="00E72CA9" w:rsidRDefault="00D516E3">
      <w:pPr>
        <w:pStyle w:val="ICRPannexparagraph"/>
        <w:tabs>
          <w:tab w:val="clear" w:pos="1004"/>
          <w:tab w:val="num" w:pos="862"/>
        </w:tabs>
        <w:ind w:left="0"/>
      </w:pPr>
      <w:bookmarkStart w:id="220" w:name="_Hlk157710183"/>
      <w:r>
        <w:t xml:space="preserve">The main aim of the present Annex is to help the user to implement the DRF or DEF to the Monte Carlo code by including code-specific instructions. </w:t>
      </w:r>
    </w:p>
    <w:bookmarkEnd w:id="220"/>
    <w:p w14:paraId="13295AB6" w14:textId="77777777" w:rsidR="00E72CA9" w:rsidRDefault="00D516E3">
      <w:pPr>
        <w:pStyle w:val="ICRPannexparagraph"/>
        <w:tabs>
          <w:tab w:val="clear" w:pos="1004"/>
          <w:tab w:val="num" w:pos="862"/>
        </w:tabs>
        <w:ind w:left="0"/>
      </w:pPr>
      <w:r>
        <w:lastRenderedPageBreak/>
        <w:t xml:space="preserve">In a Monte Carlo program, the various regions are defined by their shape, position, material, and density. Normally the medium of a region of interest is homogeneously distributed through the region’s volume and the average dose to the whole volume is scored to estimate absorbed dose. Monte Carlo programs transporting photons only (i.e. without electron transport) enable the user to calculate the dose to the volume of interest using a track length or collision density estimator as described in Eq. D.4b and D.4a of ICRP </w:t>
      </w:r>
      <w:r>
        <w:rPr>
          <w:i/>
        </w:rPr>
        <w:t>Publication 116</w:t>
      </w:r>
      <w:r>
        <w:t>. For dose calculations using voxel phantoms, the track length estimator is preferred over the collision density estimator, as the number of voxels through which a photon is going will be larger than the number of voxels where a photon collision is taking place.</w:t>
      </w:r>
    </w:p>
    <w:p w14:paraId="3489AD64" w14:textId="77777777" w:rsidR="00E72CA9" w:rsidRDefault="00D516E3">
      <w:pPr>
        <w:pStyle w:val="ICRPannexparagraph"/>
        <w:tabs>
          <w:tab w:val="clear" w:pos="1004"/>
          <w:tab w:val="num" w:pos="862"/>
        </w:tabs>
        <w:ind w:left="0"/>
      </w:pPr>
      <w:r>
        <w:t>The spongiosa of a bone in the ICRP reference phantoms is composed of active marrow (AM), inactive marrow (IM), trabecular bone, cartilage, and miscellaneous tissues in a non-homogenous way. The targets of interest in the spongiosa region are the AM and the TM</w:t>
      </w:r>
      <w:r>
        <w:rPr>
          <w:vertAlign w:val="subscript"/>
        </w:rPr>
        <w:t>50</w:t>
      </w:r>
      <w:r>
        <w:t xml:space="preserve">, a mixture of active and inactive marrow. The mixture of active and inactive marrow is dependent on the bone site and age of the ICRP reference phantom. For adult reference phantoms, this can be derived from the information listed in ICRP </w:t>
      </w:r>
      <w:r>
        <w:rPr>
          <w:i/>
        </w:rPr>
        <w:t>Publication 110</w:t>
      </w:r>
      <w:r>
        <w:t xml:space="preserve">, Table 4.2, based on data of Cristy </w:t>
      </w:r>
      <w:r>
        <w:fldChar w:fldCharType="begin"/>
      </w:r>
      <w:r>
        <w:instrText xml:space="preserve"> ADDIN EN.CITE &lt;EndNote&gt;&lt;Cite ExcludeAuth="1"&gt;&lt;Author&gt;Cristy&lt;/Author&gt;&lt;Year&gt;1981&lt;/Year&gt;&lt;RecNum&gt;2763&lt;/RecNum&gt;&lt;DisplayText&gt;(1981)&lt;/DisplayText&gt;&lt;record&gt;&lt;rec-number&gt;2763&lt;/rec-number&gt;&lt;foreign-keys&gt;&lt;key app="EN" db-id="rss5s0wzrpx9pwe5a0h5a9wkx9sf2zexde9d" timestamp="0"&gt;2763&lt;/key&gt;&lt;/foreign-keys&gt;&lt;ref-type name="Journal Article"&gt;17&lt;/ref-type&gt;&lt;contributors&gt;&lt;authors&gt;&lt;author&gt;Cristy, M.&lt;/author&gt;&lt;/authors&gt;&lt;/contributors&gt;&lt;titles&gt;&lt;title&gt;Active bone marrow distribution as a function of age in humans&lt;/title&gt;&lt;secondary-title&gt;Physics in Medicine and Biology&lt;/secondary-title&gt;&lt;/titles&gt;&lt;pages&gt;389-400&lt;/pages&gt;&lt;volume&gt;26&lt;/volume&gt;&lt;dates&gt;&lt;year&gt;1981&lt;/year&gt;&lt;/dates&gt;&lt;urls&gt;&lt;/urls&gt;&lt;/record&gt;&lt;/Cite&gt;&lt;/EndNote&gt;</w:instrText>
      </w:r>
      <w:r>
        <w:fldChar w:fldCharType="separate"/>
      </w:r>
      <w:r>
        <w:rPr>
          <w:noProof/>
        </w:rPr>
        <w:t>(1981)</w:t>
      </w:r>
      <w:r>
        <w:fldChar w:fldCharType="end"/>
      </w:r>
      <w:r>
        <w:t xml:space="preserve">. Since the range of the secondary electron is much smaller than the smallest size of the marrow-filled cavities, and the latter are much smaller than the size of the volume, the fluence-to-dose function can be used. For a bone compartment, </w:t>
      </w:r>
      <w:r>
        <w:rPr>
          <w:i/>
        </w:rPr>
        <w:t>x</w:t>
      </w:r>
      <w:r>
        <w:t xml:space="preserve">, assuming secondary electron equilibrium, the active marrow dose can be then calculated </w:t>
      </w:r>
      <w:r>
        <w:fldChar w:fldCharType="begin"/>
      </w:r>
      <w:r>
        <w:instrText xml:space="preserve"> ADDIN EN.CITE &lt;EndNote&gt;&lt;Cite&gt;&lt;Author&gt;ICRU&lt;/Author&gt;&lt;Year&gt;2011&lt;/Year&gt;&lt;RecNum&gt;8965&lt;/RecNum&gt;&lt;DisplayText&gt;(ICRU, 2011)&lt;/DisplayText&gt;&lt;record&gt;&lt;rec-number&gt;8965&lt;/rec-number&gt;&lt;foreign-keys&gt;&lt;key app="EN" db-id="rss5s0wzrpx9pwe5a0h5a9wkx9sf2zexde9d" timestamp="0"&gt;8965&lt;/key&gt;&lt;/foreign-keys&gt;&lt;ref-type name="Report"&gt;27&lt;/ref-type&gt;&lt;contributors&gt;&lt;authors&gt;&lt;author&gt;ICRU,&lt;/author&gt;&lt;/authors&gt;&lt;/contributors&gt;&lt;titles&gt;&lt;title&gt;Fundamental quantities and units for ionizing radiation&lt;/title&gt;&lt;secondary-title&gt;ICRU Report&lt;/secondary-title&gt;&lt;/titles&gt;&lt;volume&gt;11&lt;/volume&gt;&lt;number&gt;1&lt;/number&gt;&lt;dates&gt;&lt;year&gt;2011&lt;/year&gt;&lt;pub-dates&gt;&lt;date&gt;April 1, 2011&lt;/date&gt;&lt;/pub-dates&gt;&lt;/dates&gt;&lt;pub-location&gt;Bethesda, MD&lt;/pub-location&gt;&lt;publisher&gt;International Commission on Radiation Units and Measurements&lt;/publisher&gt;&lt;isbn&gt;85a&lt;/isbn&gt;&lt;work-type&gt;ICRU Report&lt;/work-type&gt;&lt;urls&gt;&lt;related-urls&gt;&lt;url&gt;http://jicru.oxfordjournals.org/content/11/1/NP.2.short &lt;/url&gt;&lt;/related-urls&gt;&lt;/urls&gt;&lt;electronic-resource-num&gt;10.1093/jicru/ndr012&lt;/electronic-resource-num&gt;&lt;/record&gt;&lt;/Cite&gt;&lt;/EndNote&gt;</w:instrText>
      </w:r>
      <w:r>
        <w:fldChar w:fldCharType="separate"/>
      </w:r>
      <w:r>
        <w:rPr>
          <w:noProof/>
        </w:rPr>
        <w:t>(ICRU, 2011)</w:t>
      </w:r>
      <w:r>
        <w:fldChar w:fldCharType="end"/>
      </w:r>
      <w:r>
        <w:t xml:space="preserve"> as:</w:t>
      </w:r>
    </w:p>
    <w:p w14:paraId="20CDB4CA" w14:textId="77777777" w:rsidR="00E72CA9" w:rsidRDefault="00E72CA9">
      <w:pPr>
        <w:pStyle w:val="ICRPannexparagraph"/>
        <w:numPr>
          <w:ilvl w:val="0"/>
          <w:numId w:val="0"/>
        </w:numPr>
      </w:pPr>
    </w:p>
    <w:p w14:paraId="0E9D6C99" w14:textId="77777777" w:rsidR="00E72CA9" w:rsidRDefault="00AD0DD0">
      <w:pPr>
        <w:jc w:val="right"/>
      </w:pPr>
      <m:oMath>
        <m:sSub>
          <m:sSubPr>
            <m:ctrlPr>
              <w:rPr>
                <w:rFonts w:ascii="Cambria Math" w:hAnsi="Cambria Math"/>
                <w:i/>
                <w:lang w:val="de-DE"/>
              </w:rPr>
            </m:ctrlPr>
          </m:sSubPr>
          <m:e>
            <m:r>
              <w:rPr>
                <w:rFonts w:ascii="Cambria Math" w:hAnsi="Cambria Math"/>
                <w:lang w:val="de-DE"/>
              </w:rPr>
              <m:t>D</m:t>
            </m:r>
          </m:e>
          <m:sub>
            <m:r>
              <m:rPr>
                <m:sty m:val="p"/>
              </m:rPr>
              <w:rPr>
                <w:rFonts w:ascii="Cambria Math" w:hAnsi="Cambria Math"/>
              </w:rPr>
              <m:t>AM,x</m:t>
            </m:r>
          </m:sub>
        </m:sSub>
        <m:r>
          <w:rPr>
            <w:rFonts w:ascii="Cambria Math" w:hAnsi="Cambria Math"/>
          </w:rPr>
          <m:t>=</m:t>
        </m:r>
      </m:oMath>
      <w:r w:rsidR="00D516E3">
        <w:t xml:space="preserve"> </w:t>
      </w:r>
      <m:oMath>
        <m:sSub>
          <m:sSubPr>
            <m:ctrlPr>
              <w:rPr>
                <w:rFonts w:ascii="Cambria Math" w:hAnsi="Cambria Math"/>
                <w:i/>
                <w:lang w:val="de-DE"/>
              </w:rPr>
            </m:ctrlPr>
          </m:sSubPr>
          <m:e>
            <m:r>
              <w:rPr>
                <w:rFonts w:ascii="Cambria Math" w:hAnsi="Cambria Math"/>
              </w:rPr>
              <m:t>(</m:t>
            </m:r>
            <m:f>
              <m:fPr>
                <m:ctrlPr>
                  <w:rPr>
                    <w:rFonts w:ascii="Cambria Math" w:hAnsi="Cambria Math"/>
                    <w:i/>
                    <w:lang w:val="de-DE"/>
                  </w:rPr>
                </m:ctrlPr>
              </m:fPr>
              <m:num>
                <m:sSub>
                  <m:sSubPr>
                    <m:ctrlPr>
                      <w:rPr>
                        <w:rFonts w:ascii="Cambria Math" w:hAnsi="Cambria Math"/>
                        <w:i/>
                        <w:lang w:val="de-DE"/>
                      </w:rPr>
                    </m:ctrlPr>
                  </m:sSubPr>
                  <m:e>
                    <m:r>
                      <w:rPr>
                        <w:rFonts w:ascii="Cambria Math" w:hAnsi="Cambria Math"/>
                        <w:lang w:val="de-DE"/>
                      </w:rPr>
                      <m:t>μ</m:t>
                    </m:r>
                  </m:e>
                  <m:sub>
                    <m:r>
                      <m:rPr>
                        <m:sty m:val="p"/>
                      </m:rPr>
                      <w:rPr>
                        <w:rFonts w:ascii="Cambria Math" w:hAnsi="Cambria Math"/>
                      </w:rPr>
                      <m:t>en</m:t>
                    </m:r>
                  </m:sub>
                </m:sSub>
              </m:num>
              <m:den>
                <m:r>
                  <w:rPr>
                    <w:rFonts w:ascii="Cambria Math" w:hAnsi="Cambria Math"/>
                    <w:lang w:val="de-DE"/>
                  </w:rPr>
                  <m:t>ρ</m:t>
                </m:r>
              </m:den>
            </m:f>
            <m:r>
              <w:rPr>
                <w:rFonts w:ascii="Cambria Math" w:hAnsi="Cambria Math"/>
              </w:rPr>
              <m:t>)</m:t>
            </m:r>
          </m:e>
          <m:sub>
            <m:r>
              <m:rPr>
                <m:sty m:val="p"/>
              </m:rPr>
              <w:rPr>
                <w:rFonts w:ascii="Cambria Math" w:hAnsi="Cambria Math"/>
              </w:rPr>
              <m:t>AM</m:t>
            </m:r>
          </m:sub>
        </m:sSub>
        <m:r>
          <w:rPr>
            <w:rFonts w:ascii="Cambria Math" w:hAnsi="Cambria Math"/>
            <w:lang w:val="de-DE"/>
          </w:rPr>
          <m:t>E</m:t>
        </m:r>
        <m:r>
          <w:rPr>
            <w:rFonts w:ascii="Cambria Math" w:hAnsi="Cambria Math"/>
          </w:rPr>
          <m:t xml:space="preserve"> </m:t>
        </m:r>
        <m:r>
          <w:rPr>
            <w:rFonts w:ascii="Cambria Math" w:hAnsi="Cambria Math"/>
            <w:lang w:val="de-DE"/>
          </w:rPr>
          <m:t>Φ</m:t>
        </m:r>
      </m:oMath>
      <w:r w:rsidR="00D516E3">
        <w:tab/>
      </w:r>
      <w:r w:rsidR="00D516E3">
        <w:tab/>
      </w:r>
      <w:r w:rsidR="00D516E3">
        <w:tab/>
      </w:r>
      <w:r w:rsidR="00D516E3">
        <w:tab/>
      </w:r>
      <w:r w:rsidR="00D516E3">
        <w:tab/>
        <w:t>(C.1)</w:t>
      </w:r>
    </w:p>
    <w:p w14:paraId="485BDA6F" w14:textId="77777777" w:rsidR="00E72CA9" w:rsidRDefault="00E72CA9">
      <w:pPr>
        <w:jc w:val="center"/>
      </w:pPr>
    </w:p>
    <w:p w14:paraId="06D7BEA7" w14:textId="77777777" w:rsidR="00E72CA9" w:rsidRDefault="00D516E3">
      <w:pPr>
        <w:jc w:val="both"/>
      </w:pPr>
      <w:r>
        <w:t xml:space="preserve">where </w:t>
      </w:r>
      <w:proofErr w:type="spellStart"/>
      <w:r>
        <w:rPr>
          <w:i/>
          <w:iCs/>
        </w:rPr>
        <w:t>D</w:t>
      </w:r>
      <w:r>
        <w:rPr>
          <w:vertAlign w:val="subscript"/>
        </w:rPr>
        <w:t>AM,x</w:t>
      </w:r>
      <w:proofErr w:type="spellEnd"/>
      <w:r>
        <w:t xml:space="preserve"> is the absorbed dose to the active marrow in bone compartment, </w:t>
      </w:r>
      <w:r>
        <w:rPr>
          <w:i/>
        </w:rPr>
        <w:t>x</w:t>
      </w:r>
      <w:r>
        <w:t>, (</w:t>
      </w:r>
      <w:proofErr w:type="spellStart"/>
      <w:r>
        <w:rPr>
          <w:i/>
          <w:iCs/>
        </w:rPr>
        <w:t>μ</w:t>
      </w:r>
      <w:r>
        <w:rPr>
          <w:vertAlign w:val="subscript"/>
        </w:rPr>
        <w:t>en</w:t>
      </w:r>
      <w:proofErr w:type="spellEnd"/>
      <w:r>
        <w:t>/</w:t>
      </w:r>
      <w:r>
        <w:rPr>
          <w:i/>
          <w:iCs/>
        </w:rPr>
        <w:t>ρ</w:t>
      </w:r>
      <w:r>
        <w:t>)</w:t>
      </w:r>
      <w:r>
        <w:rPr>
          <w:vertAlign w:val="subscript"/>
        </w:rPr>
        <w:t>AM</w:t>
      </w:r>
      <w:r>
        <w:t xml:space="preserve"> is the mass energy attenuation coefficient for active marrow, </w:t>
      </w:r>
      <w:r>
        <w:rPr>
          <w:i/>
        </w:rPr>
        <w:t>E</w:t>
      </w:r>
      <w:r>
        <w:t xml:space="preserve"> is the photon energy and </w:t>
      </w:r>
      <w:r>
        <w:rPr>
          <w:i/>
        </w:rPr>
        <w:t>Φ</w:t>
      </w:r>
      <w:r>
        <w:t xml:space="preserve"> is the photon fluence in this compartment. Note that both the mass energy attenuation coefficient and the fluence are dependent on the photon energy, </w:t>
      </w:r>
      <w:r>
        <w:rPr>
          <w:i/>
        </w:rPr>
        <w:t>E</w:t>
      </w:r>
      <w:r>
        <w:t xml:space="preserve">. In dosimetric calculations, the active marrow dose, can be expressed in terms of the photon energy distribution, </w:t>
      </w:r>
      <w:r>
        <w:rPr>
          <w:i/>
          <w:iCs/>
        </w:rPr>
        <w:t>Φ</w:t>
      </w:r>
      <w:r>
        <w:rPr>
          <w:vertAlign w:val="subscript"/>
        </w:rPr>
        <w:t>E</w:t>
      </w:r>
      <w:r>
        <w:t xml:space="preserve">, </w:t>
      </w:r>
      <w:r>
        <w:fldChar w:fldCharType="begin"/>
      </w:r>
      <w:r>
        <w:instrText xml:space="preserve"> ADDIN EN.CITE &lt;EndNote&gt;&lt;Cite&gt;&lt;Author&gt;ICRU&lt;/Author&gt;&lt;Year&gt;2011&lt;/Year&gt;&lt;RecNum&gt;8965&lt;/RecNum&gt;&lt;DisplayText&gt;(ICRU, 2011)&lt;/DisplayText&gt;&lt;record&gt;&lt;rec-number&gt;8965&lt;/rec-number&gt;&lt;foreign-keys&gt;&lt;key app="EN" db-id="rss5s0wzrpx9pwe5a0h5a9wkx9sf2zexde9d" timestamp="0"&gt;8965&lt;/key&gt;&lt;/foreign-keys&gt;&lt;ref-type name="Report"&gt;27&lt;/ref-type&gt;&lt;contributors&gt;&lt;authors&gt;&lt;author&gt;ICRU,&lt;/author&gt;&lt;/authors&gt;&lt;/contributors&gt;&lt;titles&gt;&lt;title&gt;Fundamental quantities and units for ionizing radiation&lt;/title&gt;&lt;secondary-title&gt;ICRU Report&lt;/secondary-title&gt;&lt;/titles&gt;&lt;volume&gt;11&lt;/volume&gt;&lt;number&gt;1&lt;/number&gt;&lt;dates&gt;&lt;year&gt;2011&lt;/year&gt;&lt;pub-dates&gt;&lt;date&gt;April 1, 2011&lt;/date&gt;&lt;/pub-dates&gt;&lt;/dates&gt;&lt;pub-location&gt;Bethesda, MD&lt;/pub-location&gt;&lt;publisher&gt;International Commission on Radiation Units and Measurements&lt;/publisher&gt;&lt;isbn&gt;85a&lt;/isbn&gt;&lt;work-type&gt;ICRU Report&lt;/work-type&gt;&lt;urls&gt;&lt;related-urls&gt;&lt;url&gt;http://jicru.oxfordjournals.org/content/11/1/NP.2.short &lt;/url&gt;&lt;/related-urls&gt;&lt;/urls&gt;&lt;electronic-resource-num&gt;10.1093/jicru/ndr012&lt;/electronic-resource-num&gt;&lt;/record&gt;&lt;/Cite&gt;&lt;/EndNote&gt;</w:instrText>
      </w:r>
      <w:r>
        <w:fldChar w:fldCharType="separate"/>
      </w:r>
      <w:r>
        <w:rPr>
          <w:noProof/>
        </w:rPr>
        <w:t>(ICRU, 2011)</w:t>
      </w:r>
      <w:r>
        <w:fldChar w:fldCharType="end"/>
      </w:r>
      <w:r>
        <w:t xml:space="preserve"> as:</w:t>
      </w:r>
    </w:p>
    <w:p w14:paraId="1DB9B67B" w14:textId="77777777" w:rsidR="00E72CA9" w:rsidRDefault="00AD0DD0">
      <w:pPr>
        <w:jc w:val="right"/>
        <w:rPr>
          <w:lang w:val="nl-NL"/>
        </w:rPr>
      </w:pPr>
      <m:oMath>
        <m:sSub>
          <m:sSubPr>
            <m:ctrlPr>
              <w:rPr>
                <w:rFonts w:ascii="Cambria Math" w:hAnsi="Cambria Math"/>
                <w:i/>
                <w:lang w:val="nl-NL"/>
              </w:rPr>
            </m:ctrlPr>
          </m:sSubPr>
          <m:e>
            <m:r>
              <w:rPr>
                <w:rFonts w:ascii="Cambria Math" w:hAnsi="Cambria Math"/>
                <w:lang w:val="nl-NL"/>
              </w:rPr>
              <m:t>D</m:t>
            </m:r>
          </m:e>
          <m:sub>
            <m:r>
              <m:rPr>
                <m:sty m:val="p"/>
              </m:rPr>
              <w:rPr>
                <w:rFonts w:ascii="Cambria Math" w:hAnsi="Cambria Math"/>
                <w:lang w:val="nl-NL"/>
              </w:rPr>
              <m:t>AM,x</m:t>
            </m:r>
            <m:r>
              <w:rPr>
                <w:rFonts w:ascii="Cambria Math" w:hAnsi="Cambria Math"/>
                <w:lang w:val="nl-NL"/>
              </w:rPr>
              <m:t xml:space="preserve"> </m:t>
            </m:r>
          </m:sub>
        </m:sSub>
        <m:r>
          <w:rPr>
            <w:rFonts w:ascii="Cambria Math" w:hAnsi="Cambria Math"/>
            <w:lang w:val="nl-NL"/>
          </w:rPr>
          <m:t>=</m:t>
        </m:r>
        <m:nary>
          <m:naryPr>
            <m:limLoc m:val="undOvr"/>
            <m:subHide m:val="1"/>
            <m:supHide m:val="1"/>
            <m:ctrlPr>
              <w:rPr>
                <w:rFonts w:ascii="Cambria Math" w:hAnsi="Cambria Math"/>
                <w:i/>
                <w:lang w:val="nl-NL"/>
              </w:rPr>
            </m:ctrlPr>
          </m:naryPr>
          <m:sub/>
          <m:sup/>
          <m:e>
            <m:sSub>
              <m:sSubPr>
                <m:ctrlPr>
                  <w:rPr>
                    <w:rFonts w:ascii="Cambria Math" w:hAnsi="Cambria Math"/>
                    <w:i/>
                    <w:lang w:val="de-DE"/>
                  </w:rPr>
                </m:ctrlPr>
              </m:sSubPr>
              <m:e>
                <m:r>
                  <w:rPr>
                    <w:rFonts w:ascii="Cambria Math" w:hAnsi="Cambria Math"/>
                    <w:lang w:val="nl-NL"/>
                  </w:rPr>
                  <m:t>(</m:t>
                </m:r>
                <m:f>
                  <m:fPr>
                    <m:ctrlPr>
                      <w:rPr>
                        <w:rFonts w:ascii="Cambria Math" w:hAnsi="Cambria Math"/>
                        <w:i/>
                        <w:lang w:val="de-DE"/>
                      </w:rPr>
                    </m:ctrlPr>
                  </m:fPr>
                  <m:num>
                    <m:sSub>
                      <m:sSubPr>
                        <m:ctrlPr>
                          <w:rPr>
                            <w:rFonts w:ascii="Cambria Math" w:hAnsi="Cambria Math"/>
                            <w:i/>
                            <w:lang w:val="de-DE"/>
                          </w:rPr>
                        </m:ctrlPr>
                      </m:sSubPr>
                      <m:e>
                        <m:r>
                          <w:rPr>
                            <w:rFonts w:ascii="Cambria Math" w:hAnsi="Cambria Math"/>
                            <w:lang w:val="de-DE"/>
                          </w:rPr>
                          <m:t>μ</m:t>
                        </m:r>
                      </m:e>
                      <m:sub>
                        <m:r>
                          <m:rPr>
                            <m:sty m:val="p"/>
                          </m:rPr>
                          <w:rPr>
                            <w:rFonts w:ascii="Cambria Math" w:hAnsi="Cambria Math"/>
                          </w:rPr>
                          <m:t>en</m:t>
                        </m:r>
                      </m:sub>
                    </m:sSub>
                  </m:num>
                  <m:den>
                    <m:r>
                      <w:rPr>
                        <w:rFonts w:ascii="Cambria Math" w:hAnsi="Cambria Math"/>
                        <w:lang w:val="de-DE"/>
                      </w:rPr>
                      <m:t>ρ</m:t>
                    </m:r>
                  </m:den>
                </m:f>
                <m:r>
                  <w:rPr>
                    <w:rFonts w:ascii="Cambria Math" w:hAnsi="Cambria Math"/>
                    <w:lang w:val="nl-NL"/>
                  </w:rPr>
                  <m:t>)</m:t>
                </m:r>
              </m:e>
              <m:sub>
                <m:r>
                  <m:rPr>
                    <m:sty m:val="p"/>
                  </m:rPr>
                  <w:rPr>
                    <w:rFonts w:ascii="Cambria Math" w:hAnsi="Cambria Math"/>
                    <w:lang w:val="nl-NL"/>
                  </w:rPr>
                  <m:t>AM</m:t>
                </m:r>
              </m:sub>
            </m:sSub>
            <m:r>
              <w:rPr>
                <w:rFonts w:ascii="Cambria Math" w:hAnsi="Cambria Math"/>
                <w:lang w:val="de-DE"/>
              </w:rPr>
              <m:t>E</m:t>
            </m:r>
            <m:r>
              <w:rPr>
                <w:rFonts w:ascii="Cambria Math" w:hAnsi="Cambria Math"/>
                <w:lang w:val="nl-NL"/>
              </w:rPr>
              <m:t xml:space="preserve"> </m:t>
            </m:r>
            <m:sSub>
              <m:sSubPr>
                <m:ctrlPr>
                  <w:rPr>
                    <w:rFonts w:ascii="Cambria Math" w:hAnsi="Cambria Math"/>
                    <w:i/>
                    <w:lang w:val="de-DE"/>
                  </w:rPr>
                </m:ctrlPr>
              </m:sSubPr>
              <m:e>
                <m:r>
                  <w:rPr>
                    <w:rFonts w:ascii="Cambria Math" w:hAnsi="Cambria Math"/>
                  </w:rPr>
                  <m:t>Φ</m:t>
                </m:r>
              </m:e>
              <m:sub>
                <m:r>
                  <m:rPr>
                    <m:sty m:val="p"/>
                  </m:rPr>
                  <w:rPr>
                    <w:rFonts w:ascii="Cambria Math" w:hAnsi="Cambria Math"/>
                  </w:rPr>
                  <m:t>E</m:t>
                </m:r>
              </m:sub>
            </m:sSub>
            <m:r>
              <m:rPr>
                <m:sty m:val="p"/>
              </m:rPr>
              <w:rPr>
                <w:rFonts w:ascii="Cambria Math" w:hAnsi="Cambria Math"/>
                <w:lang w:val="nl-NL"/>
              </w:rPr>
              <m:t xml:space="preserve">  d</m:t>
            </m:r>
            <m:r>
              <w:rPr>
                <w:rFonts w:ascii="Cambria Math" w:hAnsi="Cambria Math"/>
                <w:lang w:val="nl-NL"/>
              </w:rPr>
              <m:t>E</m:t>
            </m:r>
            <m:r>
              <m:rPr>
                <m:sty m:val="p"/>
              </m:rPr>
              <w:rPr>
                <w:rFonts w:ascii="Cambria Math" w:hAnsi="Cambria Math"/>
                <w:lang w:val="nl-NL"/>
              </w:rPr>
              <m:t xml:space="preserve">  </m:t>
            </m:r>
          </m:e>
        </m:nary>
      </m:oMath>
      <w:r w:rsidR="00D516E3">
        <w:rPr>
          <w:lang w:val="nl-NL"/>
        </w:rPr>
        <w:tab/>
      </w:r>
      <w:r w:rsidR="00D516E3">
        <w:rPr>
          <w:lang w:val="nl-NL"/>
        </w:rPr>
        <w:tab/>
      </w:r>
      <w:r w:rsidR="00D516E3">
        <w:rPr>
          <w:lang w:val="nl-NL"/>
        </w:rPr>
        <w:tab/>
      </w:r>
      <w:r w:rsidR="00D516E3">
        <w:rPr>
          <w:lang w:val="nl-NL"/>
        </w:rPr>
        <w:tab/>
        <w:t xml:space="preserve">       (C.2)</w:t>
      </w:r>
    </w:p>
    <w:p w14:paraId="789A4DCB" w14:textId="77777777" w:rsidR="00E72CA9" w:rsidRDefault="00E72CA9">
      <w:pPr>
        <w:jc w:val="center"/>
        <w:rPr>
          <w:lang w:val="nl-NL"/>
        </w:rPr>
      </w:pPr>
    </w:p>
    <w:p w14:paraId="52A75F07" w14:textId="77777777" w:rsidR="00E72CA9" w:rsidRDefault="00D516E3">
      <w:pPr>
        <w:pStyle w:val="ICRPannexparagraph"/>
        <w:tabs>
          <w:tab w:val="clear" w:pos="1004"/>
          <w:tab w:val="num" w:pos="862"/>
        </w:tabs>
        <w:ind w:left="0"/>
      </w:pPr>
      <w:r>
        <w:t xml:space="preserve">For the calculation of the shallow marrow dose in the bone compartment, </w:t>
      </w:r>
      <w:r>
        <w:rPr>
          <w:i/>
          <w:iCs/>
        </w:rPr>
        <w:t>x</w:t>
      </w:r>
      <w:r>
        <w:t xml:space="preserve">, it is convenient to define the marrow cellularity factor, </w:t>
      </w:r>
      <w:proofErr w:type="spellStart"/>
      <w:r>
        <w:rPr>
          <w:i/>
          <w:iCs/>
        </w:rPr>
        <w:t>CF</w:t>
      </w:r>
      <w:r>
        <w:rPr>
          <w:vertAlign w:val="subscript"/>
        </w:rPr>
        <w:t>x</w:t>
      </w:r>
      <w:proofErr w:type="spellEnd"/>
      <w:r>
        <w:t xml:space="preserve">, </w:t>
      </w:r>
      <w:r>
        <w:fldChar w:fldCharType="begin"/>
      </w:r>
      <w:r>
        <w:instrText xml:space="preserve"> ADDIN EN.CITE &lt;EndNote&gt;&lt;Cite&gt;&lt;Author&gt;Cristy&lt;/Author&gt;&lt;Year&gt;1981&lt;/Year&gt;&lt;RecNum&gt;2763&lt;/RecNum&gt;&lt;DisplayText&gt;(Cristy, 1981)&lt;/DisplayText&gt;&lt;record&gt;&lt;rec-number&gt;2763&lt;/rec-number&gt;&lt;foreign-keys&gt;&lt;key app="EN" db-id="rss5s0wzrpx9pwe5a0h5a9wkx9sf2zexde9d" timestamp="0"&gt;2763&lt;/key&gt;&lt;/foreign-keys&gt;&lt;ref-type name="Journal Article"&gt;17&lt;/ref-type&gt;&lt;contributors&gt;&lt;authors&gt;&lt;author&gt;Cristy, M.&lt;/author&gt;&lt;/authors&gt;&lt;/contributors&gt;&lt;titles&gt;&lt;title&gt;Active bone marrow distribution as a function of age in humans&lt;/title&gt;&lt;secondary-title&gt;Physics in Medicine and Biology&lt;/secondary-title&gt;&lt;/titles&gt;&lt;pages&gt;389-400&lt;/pages&gt;&lt;volume&gt;26&lt;/volume&gt;&lt;dates&gt;&lt;year&gt;1981&lt;/year&gt;&lt;/dates&gt;&lt;urls&gt;&lt;/urls&gt;&lt;/record&gt;&lt;/Cite&gt;&lt;/EndNote&gt;</w:instrText>
      </w:r>
      <w:r>
        <w:fldChar w:fldCharType="separate"/>
      </w:r>
      <w:r>
        <w:rPr>
          <w:noProof/>
        </w:rPr>
        <w:t>(Cristy, 1981)</w:t>
      </w:r>
      <w:r>
        <w:fldChar w:fldCharType="end"/>
      </w:r>
      <w:r>
        <w:t xml:space="preserve"> of this bone compartment, </w:t>
      </w:r>
      <w:r>
        <w:rPr>
          <w:i/>
          <w:iCs/>
        </w:rPr>
        <w:t>x</w:t>
      </w:r>
      <w:r>
        <w:t>:</w:t>
      </w:r>
    </w:p>
    <w:p w14:paraId="79F57A2A" w14:textId="77777777" w:rsidR="00E72CA9" w:rsidRDefault="00D516E3">
      <w:pPr>
        <w:jc w:val="right"/>
      </w:pPr>
      <m:oMath>
        <m:r>
          <w:rPr>
            <w:rFonts w:ascii="Cambria Math" w:hAnsi="Cambria Math"/>
            <w:lang w:val="de-DE"/>
          </w:rPr>
          <m:t>C</m:t>
        </m:r>
        <m:sSub>
          <m:sSubPr>
            <m:ctrlPr>
              <w:rPr>
                <w:rFonts w:ascii="Cambria Math" w:hAnsi="Cambria Math"/>
                <w:i/>
                <w:lang w:val="de-DE"/>
              </w:rPr>
            </m:ctrlPr>
          </m:sSubPr>
          <m:e>
            <m:r>
              <w:rPr>
                <w:rFonts w:ascii="Cambria Math" w:hAnsi="Cambria Math"/>
                <w:lang w:val="de-DE"/>
              </w:rPr>
              <m:t>F</m:t>
            </m:r>
          </m:e>
          <m:sub>
            <m:r>
              <m:rPr>
                <m:sty m:val="p"/>
              </m:rPr>
              <w:rPr>
                <w:rFonts w:ascii="Cambria Math" w:hAnsi="Cambria Math"/>
              </w:rPr>
              <m:t>x</m:t>
            </m:r>
          </m:sub>
        </m:sSub>
        <m:r>
          <w:rPr>
            <w:rFonts w:ascii="Cambria Math" w:hAnsi="Cambria Math"/>
          </w:rPr>
          <m:t>=</m:t>
        </m:r>
        <m:f>
          <m:fPr>
            <m:ctrlPr>
              <w:rPr>
                <w:rFonts w:ascii="Cambria Math" w:hAnsi="Cambria Math"/>
                <w:i/>
                <w:lang w:val="de-DE"/>
              </w:rPr>
            </m:ctrlPr>
          </m:fPr>
          <m:num>
            <m:sSub>
              <m:sSubPr>
                <m:ctrlPr>
                  <w:rPr>
                    <w:rFonts w:ascii="Cambria Math" w:hAnsi="Cambria Math"/>
                    <w:i/>
                    <w:lang w:val="de-DE"/>
                  </w:rPr>
                </m:ctrlPr>
              </m:sSubPr>
              <m:e>
                <m:r>
                  <w:rPr>
                    <w:rFonts w:ascii="Cambria Math" w:hAnsi="Cambria Math"/>
                    <w:lang w:val="de-DE"/>
                  </w:rPr>
                  <m:t>V</m:t>
                </m:r>
              </m:e>
              <m:sub>
                <m:r>
                  <m:rPr>
                    <m:sty m:val="p"/>
                  </m:rPr>
                  <w:rPr>
                    <w:rFonts w:ascii="Cambria Math" w:hAnsi="Cambria Math"/>
                  </w:rPr>
                  <m:t>AM,x</m:t>
                </m:r>
              </m:sub>
            </m:sSub>
          </m:num>
          <m:den>
            <m:sSub>
              <m:sSubPr>
                <m:ctrlPr>
                  <w:rPr>
                    <w:rFonts w:ascii="Cambria Math" w:hAnsi="Cambria Math"/>
                    <w:i/>
                    <w:lang w:val="de-DE"/>
                  </w:rPr>
                </m:ctrlPr>
              </m:sSubPr>
              <m:e>
                <m:r>
                  <w:rPr>
                    <w:rFonts w:ascii="Cambria Math" w:hAnsi="Cambria Math"/>
                    <w:lang w:val="de-DE"/>
                  </w:rPr>
                  <m:t>V</m:t>
                </m:r>
              </m:e>
              <m:sub>
                <m:r>
                  <m:rPr>
                    <m:sty m:val="p"/>
                  </m:rPr>
                  <w:rPr>
                    <w:rFonts w:ascii="Cambria Math" w:hAnsi="Cambria Math"/>
                  </w:rPr>
                  <m:t>AM,x</m:t>
                </m:r>
                <m:r>
                  <w:rPr>
                    <w:rFonts w:ascii="Cambria Math" w:hAnsi="Cambria Math"/>
                  </w:rPr>
                  <m:t xml:space="preserve">  </m:t>
                </m:r>
              </m:sub>
            </m:sSub>
            <m:r>
              <w:rPr>
                <w:rFonts w:ascii="Cambria Math" w:hAnsi="Cambria Math"/>
              </w:rPr>
              <m:t>+</m:t>
            </m:r>
            <m:sSub>
              <m:sSubPr>
                <m:ctrlPr>
                  <w:rPr>
                    <w:rFonts w:ascii="Cambria Math" w:hAnsi="Cambria Math"/>
                    <w:i/>
                    <w:lang w:val="de-DE"/>
                  </w:rPr>
                </m:ctrlPr>
              </m:sSubPr>
              <m:e>
                <m:r>
                  <w:rPr>
                    <w:rFonts w:ascii="Cambria Math" w:hAnsi="Cambria Math"/>
                    <w:lang w:val="de-DE"/>
                  </w:rPr>
                  <m:t>V</m:t>
                </m:r>
              </m:e>
              <m:sub>
                <m:r>
                  <m:rPr>
                    <m:sty m:val="p"/>
                  </m:rPr>
                  <w:rPr>
                    <w:rFonts w:ascii="Cambria Math" w:hAnsi="Cambria Math"/>
                  </w:rPr>
                  <m:t>IM,x</m:t>
                </m:r>
              </m:sub>
            </m:sSub>
          </m:den>
        </m:f>
      </m:oMath>
      <w:r>
        <w:tab/>
      </w:r>
      <w:r>
        <w:tab/>
      </w:r>
      <w:r>
        <w:tab/>
      </w:r>
      <w:r>
        <w:tab/>
      </w:r>
      <w:r>
        <w:tab/>
        <w:t xml:space="preserve"> (C.3)</w:t>
      </w:r>
    </w:p>
    <w:p w14:paraId="595C894E" w14:textId="77777777" w:rsidR="00E72CA9" w:rsidRDefault="00E72CA9">
      <w:pPr>
        <w:jc w:val="center"/>
      </w:pPr>
    </w:p>
    <w:p w14:paraId="4E0C4C7A" w14:textId="77777777" w:rsidR="00E72CA9" w:rsidRDefault="00D516E3">
      <w:pPr>
        <w:jc w:val="both"/>
      </w:pPr>
      <w:r>
        <w:t xml:space="preserve">where </w:t>
      </w:r>
      <w:proofErr w:type="spellStart"/>
      <w:r>
        <w:rPr>
          <w:i/>
          <w:iCs/>
        </w:rPr>
        <w:t>V</w:t>
      </w:r>
      <w:r>
        <w:rPr>
          <w:vertAlign w:val="subscript"/>
        </w:rPr>
        <w:t>AM</w:t>
      </w:r>
      <w:r>
        <w:rPr>
          <w:i/>
          <w:iCs/>
          <w:vertAlign w:val="subscript"/>
        </w:rPr>
        <w:t>,</w:t>
      </w:r>
      <w:r>
        <w:rPr>
          <w:vertAlign w:val="subscript"/>
        </w:rPr>
        <w:t>x</w:t>
      </w:r>
      <w:proofErr w:type="spellEnd"/>
      <w:r>
        <w:t xml:space="preserve"> is the volume of active marrow in bone compartment, </w:t>
      </w:r>
      <w:r>
        <w:rPr>
          <w:i/>
        </w:rPr>
        <w:t>x</w:t>
      </w:r>
      <w:r>
        <w:t xml:space="preserve"> and </w:t>
      </w:r>
      <w:proofErr w:type="spellStart"/>
      <w:r>
        <w:rPr>
          <w:i/>
          <w:iCs/>
        </w:rPr>
        <w:t>V</w:t>
      </w:r>
      <w:r>
        <w:rPr>
          <w:vertAlign w:val="subscript"/>
        </w:rPr>
        <w:t>IM,x</w:t>
      </w:r>
      <w:proofErr w:type="spellEnd"/>
      <w:r>
        <w:t xml:space="preserve"> is the volume of the inactive marrow in bone compartment, </w:t>
      </w:r>
      <w:r>
        <w:rPr>
          <w:i/>
          <w:iCs/>
        </w:rPr>
        <w:t>x</w:t>
      </w:r>
      <w:r>
        <w:t xml:space="preserve">. It is assumed that the cellularity, as defined by   Cristy (1981), </w:t>
      </w:r>
      <w:proofErr w:type="spellStart"/>
      <w:r>
        <w:rPr>
          <w:i/>
          <w:iCs/>
        </w:rPr>
        <w:t>CF</w:t>
      </w:r>
      <w:r>
        <w:rPr>
          <w:vertAlign w:val="subscript"/>
        </w:rPr>
        <w:t>x</w:t>
      </w:r>
      <w:proofErr w:type="spellEnd"/>
      <w:r>
        <w:t xml:space="preserve">, for the whole bone compartment, </w:t>
      </w:r>
      <w:r>
        <w:rPr>
          <w:i/>
          <w:iCs/>
        </w:rPr>
        <w:t>x</w:t>
      </w:r>
      <w:r>
        <w:t xml:space="preserve">, remains valid within 50 </w:t>
      </w:r>
      <w:proofErr w:type="spellStart"/>
      <w:r>
        <w:t>μm</w:t>
      </w:r>
      <w:proofErr w:type="spellEnd"/>
      <w:r>
        <w:t xml:space="preserve"> of the bone trabeculae surfaces and along the interior surfaces of the long bone medullary cavities.</w:t>
      </w:r>
    </w:p>
    <w:p w14:paraId="48DEC7AD" w14:textId="77777777" w:rsidR="00E72CA9" w:rsidRDefault="00D516E3">
      <w:pPr>
        <w:pStyle w:val="ICRPannexparagraph"/>
        <w:ind w:left="0"/>
      </w:pPr>
      <w:r>
        <w:t xml:space="preserve">Eq. C.4 expresses the cellularity factor, </w:t>
      </w:r>
      <w:proofErr w:type="spellStart"/>
      <w:r>
        <w:rPr>
          <w:i/>
          <w:iCs/>
        </w:rPr>
        <w:t>CF</w:t>
      </w:r>
      <w:r>
        <w:rPr>
          <w:vertAlign w:val="subscript"/>
        </w:rPr>
        <w:t>x</w:t>
      </w:r>
      <w:proofErr w:type="spellEnd"/>
      <w:r>
        <w:t>, using the target mass, which is the more relevant quantity for dosimetry:</w:t>
      </w:r>
    </w:p>
    <w:p w14:paraId="259F0C25" w14:textId="77777777" w:rsidR="00E72CA9" w:rsidRDefault="00D516E3">
      <w:pPr>
        <w:jc w:val="right"/>
      </w:pPr>
      <m:oMath>
        <m:r>
          <w:rPr>
            <w:rFonts w:ascii="Cambria Math" w:hAnsi="Cambria Math"/>
            <w:lang w:val="de-DE"/>
          </w:rPr>
          <m:t>C</m:t>
        </m:r>
        <m:sSub>
          <m:sSubPr>
            <m:ctrlPr>
              <w:rPr>
                <w:rFonts w:ascii="Cambria Math" w:hAnsi="Cambria Math"/>
                <w:i/>
                <w:lang w:val="de-DE"/>
              </w:rPr>
            </m:ctrlPr>
          </m:sSubPr>
          <m:e>
            <m:r>
              <w:rPr>
                <w:rFonts w:ascii="Cambria Math" w:hAnsi="Cambria Math"/>
                <w:lang w:val="de-DE"/>
              </w:rPr>
              <m:t>F</m:t>
            </m:r>
          </m:e>
          <m:sub>
            <m:r>
              <m:rPr>
                <m:sty m:val="p"/>
              </m:rPr>
              <w:rPr>
                <w:rFonts w:ascii="Cambria Math" w:hAnsi="Cambria Math"/>
              </w:rPr>
              <m:t>x</m:t>
            </m:r>
          </m:sub>
        </m:sSub>
        <m:r>
          <w:rPr>
            <w:rFonts w:ascii="Cambria Math" w:hAnsi="Cambria Math"/>
          </w:rPr>
          <m:t>=</m:t>
        </m:r>
        <m:f>
          <m:fPr>
            <m:ctrlPr>
              <w:rPr>
                <w:rFonts w:ascii="Cambria Math" w:hAnsi="Cambria Math"/>
                <w:i/>
                <w:lang w:val="de-DE"/>
              </w:rPr>
            </m:ctrlPr>
          </m:fPr>
          <m:num>
            <m:f>
              <m:fPr>
                <m:ctrlPr>
                  <w:rPr>
                    <w:rFonts w:ascii="Cambria Math" w:hAnsi="Cambria Math"/>
                    <w:i/>
                    <w:lang w:val="de-DE"/>
                  </w:rPr>
                </m:ctrlPr>
              </m:fPr>
              <m:num>
                <m:sSub>
                  <m:sSubPr>
                    <m:ctrlPr>
                      <w:rPr>
                        <w:rFonts w:ascii="Cambria Math" w:hAnsi="Cambria Math"/>
                        <w:i/>
                        <w:lang w:val="de-DE"/>
                      </w:rPr>
                    </m:ctrlPr>
                  </m:sSubPr>
                  <m:e>
                    <m:r>
                      <w:rPr>
                        <w:rFonts w:ascii="Cambria Math" w:hAnsi="Cambria Math"/>
                        <w:lang w:val="de-DE"/>
                      </w:rPr>
                      <m:t>M</m:t>
                    </m:r>
                  </m:e>
                  <m:sub>
                    <m:r>
                      <m:rPr>
                        <m:sty m:val="p"/>
                      </m:rPr>
                      <w:rPr>
                        <w:rFonts w:ascii="Cambria Math" w:hAnsi="Cambria Math"/>
                      </w:rPr>
                      <m:t>AM,x</m:t>
                    </m:r>
                  </m:sub>
                </m:sSub>
              </m:num>
              <m:den>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AM</m:t>
                    </m:r>
                  </m:sub>
                </m:sSub>
              </m:den>
            </m:f>
          </m:num>
          <m:den>
            <m:f>
              <m:fPr>
                <m:ctrlPr>
                  <w:rPr>
                    <w:rFonts w:ascii="Cambria Math" w:hAnsi="Cambria Math"/>
                    <w:i/>
                    <w:lang w:val="de-DE"/>
                  </w:rPr>
                </m:ctrlPr>
              </m:fPr>
              <m:num>
                <m:sSub>
                  <m:sSubPr>
                    <m:ctrlPr>
                      <w:rPr>
                        <w:rFonts w:ascii="Cambria Math" w:hAnsi="Cambria Math"/>
                        <w:i/>
                        <w:lang w:val="de-DE"/>
                      </w:rPr>
                    </m:ctrlPr>
                  </m:sSubPr>
                  <m:e>
                    <m:r>
                      <w:rPr>
                        <w:rFonts w:ascii="Cambria Math" w:hAnsi="Cambria Math"/>
                        <w:lang w:val="de-DE"/>
                      </w:rPr>
                      <m:t>M</m:t>
                    </m:r>
                  </m:e>
                  <m:sub>
                    <m:r>
                      <m:rPr>
                        <m:sty m:val="p"/>
                      </m:rPr>
                      <w:rPr>
                        <w:rFonts w:ascii="Cambria Math" w:hAnsi="Cambria Math"/>
                      </w:rPr>
                      <m:t>AM,x</m:t>
                    </m:r>
                    <m:r>
                      <w:rPr>
                        <w:rFonts w:ascii="Cambria Math" w:hAnsi="Cambria Math"/>
                      </w:rPr>
                      <m:t xml:space="preserve">  </m:t>
                    </m:r>
                  </m:sub>
                </m:sSub>
              </m:num>
              <m:den>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AM</m:t>
                    </m:r>
                  </m:sub>
                </m:sSub>
              </m:den>
            </m:f>
            <m:r>
              <w:rPr>
                <w:rFonts w:ascii="Cambria Math" w:hAnsi="Cambria Math"/>
              </w:rPr>
              <m:t>+</m:t>
            </m:r>
            <m:f>
              <m:fPr>
                <m:ctrlPr>
                  <w:rPr>
                    <w:rFonts w:ascii="Cambria Math" w:hAnsi="Cambria Math"/>
                    <w:i/>
                    <w:lang w:val="de-DE"/>
                  </w:rPr>
                </m:ctrlPr>
              </m:fPr>
              <m:num>
                <m:sSub>
                  <m:sSubPr>
                    <m:ctrlPr>
                      <w:rPr>
                        <w:rFonts w:ascii="Cambria Math" w:hAnsi="Cambria Math"/>
                        <w:i/>
                        <w:lang w:val="de-DE"/>
                      </w:rPr>
                    </m:ctrlPr>
                  </m:sSubPr>
                  <m:e>
                    <m:r>
                      <w:rPr>
                        <w:rFonts w:ascii="Cambria Math" w:hAnsi="Cambria Math"/>
                        <w:lang w:val="de-DE"/>
                      </w:rPr>
                      <m:t>M</m:t>
                    </m:r>
                  </m:e>
                  <m:sub>
                    <m:r>
                      <m:rPr>
                        <m:sty m:val="p"/>
                      </m:rPr>
                      <w:rPr>
                        <w:rFonts w:ascii="Cambria Math" w:hAnsi="Cambria Math"/>
                      </w:rPr>
                      <m:t>IM,x</m:t>
                    </m:r>
                  </m:sub>
                </m:sSub>
              </m:num>
              <m:den>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IM</m:t>
                    </m:r>
                  </m:sub>
                </m:sSub>
              </m:den>
            </m:f>
          </m:den>
        </m:f>
      </m:oMath>
      <w:r>
        <w:t xml:space="preserve"> </w:t>
      </w:r>
      <w:r>
        <w:tab/>
      </w:r>
      <w:r>
        <w:tab/>
      </w:r>
      <w:r>
        <w:tab/>
      </w:r>
      <w:r>
        <w:tab/>
      </w:r>
      <w:r>
        <w:tab/>
        <w:t>(C.4)</w:t>
      </w:r>
    </w:p>
    <w:p w14:paraId="61A1A82D" w14:textId="77777777" w:rsidR="00E72CA9" w:rsidRDefault="00E72CA9">
      <w:pPr>
        <w:jc w:val="center"/>
      </w:pPr>
    </w:p>
    <w:p w14:paraId="11BDC428" w14:textId="77777777" w:rsidR="00E72CA9" w:rsidRDefault="00D516E3">
      <w:pPr>
        <w:jc w:val="both"/>
      </w:pPr>
      <w:r>
        <w:t xml:space="preserve">where </w:t>
      </w:r>
      <w:proofErr w:type="spellStart"/>
      <w:r>
        <w:rPr>
          <w:i/>
          <w:iCs/>
        </w:rPr>
        <w:t>M</w:t>
      </w:r>
      <w:r>
        <w:rPr>
          <w:vertAlign w:val="subscript"/>
        </w:rPr>
        <w:t>AM,x</w:t>
      </w:r>
      <w:proofErr w:type="spellEnd"/>
      <w:r>
        <w:t xml:space="preserve"> is the mass of active marrow in bone compartment, </w:t>
      </w:r>
      <w:r>
        <w:rPr>
          <w:i/>
          <w:iCs/>
        </w:rPr>
        <w:t>x</w:t>
      </w:r>
      <w:r>
        <w:t xml:space="preserve">, (in g), </w:t>
      </w:r>
      <w:proofErr w:type="spellStart"/>
      <w:r>
        <w:rPr>
          <w:i/>
          <w:iCs/>
        </w:rPr>
        <w:t>M</w:t>
      </w:r>
      <w:r>
        <w:rPr>
          <w:vertAlign w:val="subscript"/>
        </w:rPr>
        <w:t>IM,x</w:t>
      </w:r>
      <w:proofErr w:type="spellEnd"/>
      <w:r>
        <w:t xml:space="preserve"> is the mass of the inactive marrow in bone compartment, </w:t>
      </w:r>
      <w:r>
        <w:rPr>
          <w:i/>
          <w:iCs/>
        </w:rPr>
        <w:t>x</w:t>
      </w:r>
      <w:r>
        <w:t xml:space="preserve">, </w:t>
      </w:r>
      <m:oMath>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AM</m:t>
            </m:r>
          </m:sub>
        </m:sSub>
      </m:oMath>
      <w:r>
        <w:t xml:space="preserve"> is the density of active marrow (in g/cm</w:t>
      </w:r>
      <w:r>
        <w:rPr>
          <w:vertAlign w:val="superscript"/>
        </w:rPr>
        <w:t>3</w:t>
      </w:r>
      <w:r>
        <w:t xml:space="preserve">), </w:t>
      </w:r>
      <w:r>
        <w:lastRenderedPageBreak/>
        <w:t xml:space="preserve">and </w:t>
      </w:r>
      <w:proofErr w:type="spellStart"/>
      <w:r>
        <w:rPr>
          <w:i/>
          <w:iCs/>
        </w:rPr>
        <w:t>ρ</w:t>
      </w:r>
      <w:r>
        <w:rPr>
          <w:vertAlign w:val="subscript"/>
        </w:rPr>
        <w:t>IM</w:t>
      </w:r>
      <w:proofErr w:type="spellEnd"/>
      <w:r>
        <w:t xml:space="preserve"> is the density of inactive marrow (in g/cm</w:t>
      </w:r>
      <w:r>
        <w:rPr>
          <w:vertAlign w:val="superscript"/>
        </w:rPr>
        <w:t>3</w:t>
      </w:r>
      <w:r>
        <w:t xml:space="preserve">). Note, that the densities are assumed to be independent of the compartment </w:t>
      </w:r>
      <w:r>
        <w:rPr>
          <w:i/>
        </w:rPr>
        <w:t>x</w:t>
      </w:r>
      <w:r>
        <w:t xml:space="preserve">, as the blood content is not considered. The shallow marrow dose, with the same limitations, in bone compartment, </w:t>
      </w:r>
      <w:r>
        <w:rPr>
          <w:i/>
          <w:iCs/>
        </w:rPr>
        <w:t>x</w:t>
      </w:r>
      <w:r>
        <w:t xml:space="preserve">, can now be calculated using the mass-weighted active and inactive marrow dose, assuming that the cellularity is constant throughout the entire bone compartment, </w:t>
      </w:r>
      <w:r>
        <w:rPr>
          <w:i/>
          <w:iCs/>
        </w:rPr>
        <w:t>x</w:t>
      </w:r>
      <w:r>
        <w:t>:</w:t>
      </w:r>
    </w:p>
    <w:bookmarkEnd w:id="219"/>
    <w:p w14:paraId="381AE509" w14:textId="77777777" w:rsidR="00E72CA9" w:rsidRDefault="00AD0DD0">
      <w:pPr>
        <w:jc w:val="right"/>
      </w:pPr>
      <m:oMath>
        <m:sSub>
          <m:sSubPr>
            <m:ctrlPr>
              <w:rPr>
                <w:rFonts w:ascii="Cambria Math" w:hAnsi="Cambria Math"/>
                <w:i/>
              </w:rPr>
            </m:ctrlPr>
          </m:sSubPr>
          <m:e>
            <m:r>
              <w:rPr>
                <w:rFonts w:ascii="Cambria Math" w:hAnsi="Cambria Math"/>
              </w:rPr>
              <m:t>D</m:t>
            </m:r>
          </m:e>
          <m:sub>
            <m:r>
              <m:rPr>
                <m:sty m:val="p"/>
              </m:rPr>
              <w:rPr>
                <w:rFonts w:ascii="Cambria Math" w:hAnsi="Cambria Math"/>
              </w:rPr>
              <m:t>TM50,x</m:t>
            </m:r>
          </m:sub>
        </m:sSub>
        <m:r>
          <w:rPr>
            <w:rFonts w:ascii="Cambria Math" w:hAnsi="Cambria Math"/>
          </w:rPr>
          <m:t>=</m:t>
        </m:r>
        <m:f>
          <m:fPr>
            <m:ctrlPr>
              <w:rPr>
                <w:rFonts w:ascii="Cambria Math" w:hAnsi="Cambria Math"/>
                <w:i/>
                <w:vertAlign w:val="subscript"/>
              </w:rPr>
            </m:ctrlPr>
          </m:fPr>
          <m:num>
            <m:r>
              <w:rPr>
                <w:rFonts w:ascii="Cambria Math" w:hAnsi="Cambria Math"/>
              </w:rPr>
              <m:t>(C</m:t>
            </m:r>
            <m:sSub>
              <m:sSubPr>
                <m:ctrlPr>
                  <w:rPr>
                    <w:rFonts w:ascii="Cambria Math" w:hAnsi="Cambria Math"/>
                    <w:i/>
                    <w:iCs/>
                  </w:rPr>
                </m:ctrlPr>
              </m:sSubPr>
              <m:e>
                <m:r>
                  <w:rPr>
                    <w:rFonts w:ascii="Cambria Math" w:hAnsi="Cambria Math"/>
                  </w:rPr>
                  <m:t>F</m:t>
                </m:r>
              </m:e>
              <m:sub>
                <m:r>
                  <m:rPr>
                    <m:sty m:val="p"/>
                  </m:rPr>
                  <w:rPr>
                    <w:rFonts w:ascii="Cambria Math" w:hAnsi="Cambria Math"/>
                  </w:rPr>
                  <m:t>x</m:t>
                </m:r>
              </m:sub>
            </m:sSub>
            <m:r>
              <m:rPr>
                <m:sty m:val="p"/>
              </m:rPr>
              <w:rPr>
                <w:rFonts w:ascii="Cambria Math" w:hAnsi="Cambria Math"/>
              </w:rPr>
              <m:t xml:space="preserve"> </m:t>
            </m:r>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AM</m:t>
                </m:r>
              </m:sub>
            </m:sSub>
            <m:r>
              <m:rPr>
                <m:sty m:val="p"/>
              </m:rPr>
              <w:rPr>
                <w:rFonts w:ascii="Cambria Math" w:hAnsi="Cambria Math"/>
                <w:vertAlign w:val="subscript"/>
              </w:rPr>
              <m:t xml:space="preserve"> </m:t>
            </m:r>
            <m:r>
              <w:rPr>
                <w:rFonts w:ascii="Cambria Math" w:hAnsi="Cambria Math"/>
                <w:vertAlign w:val="subscript"/>
              </w:rPr>
              <m:t>(</m:t>
            </m:r>
            <m:sSub>
              <m:sSubPr>
                <m:ctrlPr>
                  <w:rPr>
                    <w:rFonts w:ascii="Cambria Math" w:hAnsi="Cambria Math"/>
                    <w:i/>
                    <w:vertAlign w:val="subscript"/>
                  </w:rPr>
                </m:ctrlPr>
              </m:sSubPr>
              <m:e>
                <m:f>
                  <m:fPr>
                    <m:ctrlPr>
                      <w:rPr>
                        <w:rFonts w:ascii="Cambria Math" w:hAnsi="Cambria Math"/>
                        <w:i/>
                        <w:vertAlign w:val="subscript"/>
                      </w:rPr>
                    </m:ctrlPr>
                  </m:fPr>
                  <m:num>
                    <m:sSub>
                      <m:sSubPr>
                        <m:ctrlPr>
                          <w:rPr>
                            <w:rFonts w:ascii="Cambria Math" w:hAnsi="Cambria Math"/>
                            <w:i/>
                            <w:iCs/>
                          </w:rPr>
                        </m:ctrlPr>
                      </m:sSubPr>
                      <m:e>
                        <m:r>
                          <w:rPr>
                            <w:rFonts w:ascii="Cambria Math" w:hAnsi="Cambria Math"/>
                          </w:rPr>
                          <m:t>μ</m:t>
                        </m:r>
                      </m:e>
                      <m:sub>
                        <m:r>
                          <m:rPr>
                            <m:sty m:val="p"/>
                          </m:rPr>
                          <w:rPr>
                            <w:rFonts w:ascii="Cambria Math" w:hAnsi="Cambria Math"/>
                          </w:rPr>
                          <m:t>en</m:t>
                        </m:r>
                      </m:sub>
                    </m:sSub>
                  </m:num>
                  <m:den>
                    <m:r>
                      <w:rPr>
                        <w:rFonts w:ascii="Cambria Math" w:hAnsi="Cambria Math"/>
                        <w:vertAlign w:val="subscript"/>
                      </w:rPr>
                      <m:t>ρ</m:t>
                    </m:r>
                  </m:den>
                </m:f>
                <m:r>
                  <w:rPr>
                    <w:rFonts w:ascii="Cambria Math" w:hAnsi="Cambria Math"/>
                    <w:vertAlign w:val="subscript"/>
                  </w:rPr>
                  <m:t>)</m:t>
                </m:r>
              </m:e>
              <m:sub>
                <m:r>
                  <m:rPr>
                    <m:sty m:val="p"/>
                  </m:rPr>
                  <w:rPr>
                    <w:rFonts w:ascii="Cambria Math" w:hAnsi="Cambria Math"/>
                    <w:vertAlign w:val="subscript"/>
                  </w:rPr>
                  <m:t>AM</m:t>
                </m:r>
              </m:sub>
            </m:sSub>
            <m:r>
              <w:rPr>
                <w:rFonts w:ascii="Cambria Math" w:hAnsi="Cambria Math"/>
                <w:vertAlign w:val="subscript"/>
              </w:rPr>
              <m:t>+(1-C</m:t>
            </m:r>
            <m:sSub>
              <m:sSubPr>
                <m:ctrlPr>
                  <w:rPr>
                    <w:rFonts w:ascii="Cambria Math" w:hAnsi="Cambria Math"/>
                    <w:i/>
                    <w:vertAlign w:val="subscript"/>
                  </w:rPr>
                </m:ctrlPr>
              </m:sSubPr>
              <m:e>
                <m:r>
                  <w:rPr>
                    <w:rFonts w:ascii="Cambria Math" w:hAnsi="Cambria Math"/>
                    <w:vertAlign w:val="subscript"/>
                  </w:rPr>
                  <m:t>F</m:t>
                </m:r>
              </m:e>
              <m:sub>
                <m:r>
                  <m:rPr>
                    <m:sty m:val="p"/>
                  </m:rPr>
                  <w:rPr>
                    <w:rFonts w:ascii="Cambria Math" w:hAnsi="Cambria Math"/>
                    <w:vertAlign w:val="subscript"/>
                  </w:rPr>
                  <m:t>x</m:t>
                </m:r>
              </m:sub>
            </m:sSub>
            <m:r>
              <m:rPr>
                <m:sty m:val="p"/>
              </m:rPr>
              <w:rPr>
                <w:rFonts w:ascii="Cambria Math" w:hAnsi="Cambria Math"/>
                <w:vertAlign w:val="subscript"/>
              </w:rPr>
              <m:t xml:space="preserve">  </m:t>
            </m:r>
            <m:r>
              <m:rPr>
                <m:sty m:val="p"/>
              </m:rPr>
              <w:rPr>
                <w:rFonts w:ascii="Cambria Math" w:hAnsi="Cambria Math"/>
              </w:rPr>
              <m:t>)</m:t>
            </m:r>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IM</m:t>
                </m:r>
              </m:sub>
            </m:sSub>
            <m:r>
              <w:rPr>
                <w:rFonts w:ascii="Cambria Math" w:hAnsi="Cambria Math"/>
                <w:vertAlign w:val="subscript"/>
              </w:rPr>
              <m:t>(</m:t>
            </m:r>
            <m:sSub>
              <m:sSubPr>
                <m:ctrlPr>
                  <w:rPr>
                    <w:rFonts w:ascii="Cambria Math" w:hAnsi="Cambria Math"/>
                    <w:i/>
                    <w:vertAlign w:val="subscript"/>
                  </w:rPr>
                </m:ctrlPr>
              </m:sSubPr>
              <m:e>
                <m:f>
                  <m:fPr>
                    <m:ctrlPr>
                      <w:rPr>
                        <w:rFonts w:ascii="Cambria Math" w:hAnsi="Cambria Math"/>
                        <w:i/>
                        <w:vertAlign w:val="subscript"/>
                      </w:rPr>
                    </m:ctrlPr>
                  </m:fPr>
                  <m:num>
                    <m:sSub>
                      <m:sSubPr>
                        <m:ctrlPr>
                          <w:rPr>
                            <w:rFonts w:ascii="Cambria Math" w:hAnsi="Cambria Math"/>
                            <w:i/>
                            <w:iCs/>
                          </w:rPr>
                        </m:ctrlPr>
                      </m:sSubPr>
                      <m:e>
                        <m:r>
                          <w:rPr>
                            <w:rFonts w:ascii="Cambria Math" w:hAnsi="Cambria Math"/>
                          </w:rPr>
                          <m:t>μ</m:t>
                        </m:r>
                      </m:e>
                      <m:sub>
                        <m:r>
                          <m:rPr>
                            <m:sty m:val="p"/>
                          </m:rPr>
                          <w:rPr>
                            <w:rFonts w:ascii="Cambria Math" w:hAnsi="Cambria Math"/>
                          </w:rPr>
                          <m:t>en</m:t>
                        </m:r>
                      </m:sub>
                    </m:sSub>
                  </m:num>
                  <m:den>
                    <m:r>
                      <w:rPr>
                        <w:rFonts w:ascii="Cambria Math" w:hAnsi="Cambria Math"/>
                        <w:vertAlign w:val="subscript"/>
                      </w:rPr>
                      <m:t>ρ</m:t>
                    </m:r>
                  </m:den>
                </m:f>
                <m:r>
                  <w:rPr>
                    <w:rFonts w:ascii="Cambria Math" w:hAnsi="Cambria Math"/>
                    <w:vertAlign w:val="subscript"/>
                  </w:rPr>
                  <m:t>)</m:t>
                </m:r>
              </m:e>
              <m:sub>
                <m:r>
                  <m:rPr>
                    <m:sty m:val="p"/>
                  </m:rPr>
                  <w:rPr>
                    <w:rFonts w:ascii="Cambria Math" w:hAnsi="Cambria Math"/>
                    <w:vertAlign w:val="subscript"/>
                  </w:rPr>
                  <m:t>IM</m:t>
                </m:r>
              </m:sub>
            </m:sSub>
          </m:num>
          <m:den>
            <m:r>
              <w:rPr>
                <w:rFonts w:ascii="Cambria Math" w:hAnsi="Cambria Math"/>
              </w:rPr>
              <m:t>(C</m:t>
            </m:r>
            <m:sSub>
              <m:sSubPr>
                <m:ctrlPr>
                  <w:rPr>
                    <w:rFonts w:ascii="Cambria Math" w:hAnsi="Cambria Math"/>
                    <w:i/>
                    <w:iCs/>
                  </w:rPr>
                </m:ctrlPr>
              </m:sSubPr>
              <m:e>
                <m:r>
                  <w:rPr>
                    <w:rFonts w:ascii="Cambria Math" w:hAnsi="Cambria Math"/>
                  </w:rPr>
                  <m:t>F</m:t>
                </m:r>
              </m:e>
              <m:sub>
                <m:r>
                  <m:rPr>
                    <m:sty m:val="p"/>
                  </m:rPr>
                  <w:rPr>
                    <w:rFonts w:ascii="Cambria Math" w:hAnsi="Cambria Math"/>
                  </w:rPr>
                  <m:t>x</m:t>
                </m:r>
              </m:sub>
            </m:sSub>
            <m:r>
              <m:rPr>
                <m:sty m:val="p"/>
              </m:rPr>
              <w:rPr>
                <w:rFonts w:ascii="Cambria Math" w:hAnsi="Cambria Math"/>
              </w:rPr>
              <m:t xml:space="preserve"> </m:t>
            </m:r>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AM</m:t>
                </m:r>
              </m:sub>
            </m:sSub>
            <m:r>
              <w:rPr>
                <w:rFonts w:ascii="Cambria Math" w:hAnsi="Cambria Math"/>
                <w:vertAlign w:val="subscript"/>
              </w:rPr>
              <m:t>+</m:t>
            </m:r>
            <m:d>
              <m:dPr>
                <m:ctrlPr>
                  <w:rPr>
                    <w:rFonts w:ascii="Cambria Math" w:hAnsi="Cambria Math"/>
                    <w:i/>
                    <w:vertAlign w:val="subscript"/>
                  </w:rPr>
                </m:ctrlPr>
              </m:dPr>
              <m:e>
                <m:r>
                  <w:rPr>
                    <w:rFonts w:ascii="Cambria Math" w:hAnsi="Cambria Math"/>
                    <w:vertAlign w:val="subscript"/>
                  </w:rPr>
                  <m:t>1-C</m:t>
                </m:r>
                <m:sSub>
                  <m:sSubPr>
                    <m:ctrlPr>
                      <w:rPr>
                        <w:rFonts w:ascii="Cambria Math" w:hAnsi="Cambria Math"/>
                        <w:i/>
                        <w:vertAlign w:val="subscript"/>
                      </w:rPr>
                    </m:ctrlPr>
                  </m:sSubPr>
                  <m:e>
                    <m:r>
                      <w:rPr>
                        <w:rFonts w:ascii="Cambria Math" w:hAnsi="Cambria Math"/>
                        <w:vertAlign w:val="subscript"/>
                      </w:rPr>
                      <m:t>F</m:t>
                    </m:r>
                  </m:e>
                  <m:sub>
                    <m:r>
                      <m:rPr>
                        <m:sty m:val="p"/>
                      </m:rPr>
                      <w:rPr>
                        <w:rFonts w:ascii="Cambria Math" w:hAnsi="Cambria Math"/>
                        <w:vertAlign w:val="subscript"/>
                      </w:rPr>
                      <m:t>x</m:t>
                    </m:r>
                  </m:sub>
                </m:sSub>
                <m:r>
                  <m:rPr>
                    <m:sty m:val="p"/>
                  </m:rPr>
                  <w:rPr>
                    <w:rFonts w:ascii="Cambria Math" w:hAnsi="Cambria Math"/>
                    <w:vertAlign w:val="subscript"/>
                  </w:rPr>
                  <m:t xml:space="preserve">  </m:t>
                </m:r>
                <m:ctrlPr>
                  <w:rPr>
                    <w:rFonts w:ascii="Cambria Math" w:hAnsi="Cambria Math"/>
                    <w:iCs/>
                  </w:rPr>
                </m:ctrlPr>
              </m:e>
            </m:d>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IM</m:t>
                </m:r>
              </m:sub>
            </m:sSub>
            <m:r>
              <w:rPr>
                <w:rFonts w:ascii="Cambria Math" w:hAnsi="Cambria Math"/>
              </w:rPr>
              <m:t xml:space="preserve"> </m:t>
            </m:r>
          </m:den>
        </m:f>
      </m:oMath>
      <w:r w:rsidR="00D516E3">
        <w:rPr>
          <w:vertAlign w:val="subscript"/>
        </w:rPr>
        <w:t xml:space="preserve">    </w:t>
      </w:r>
      <m:oMath>
        <m:r>
          <w:rPr>
            <w:rFonts w:ascii="Cambria Math" w:hAnsi="Cambria Math"/>
            <w:vertAlign w:val="subscript"/>
          </w:rPr>
          <m:t>E</m:t>
        </m:r>
      </m:oMath>
      <w:r w:rsidR="00D516E3">
        <w:rPr>
          <w:vertAlign w:val="subscript"/>
        </w:rPr>
        <w:t xml:space="preserve"> </w:t>
      </w:r>
      <w:r w:rsidR="00D516E3">
        <w:rPr>
          <w:i/>
          <w:iCs/>
        </w:rPr>
        <w:t>Φ</w:t>
      </w:r>
      <w:r w:rsidR="00D516E3">
        <w:rPr>
          <w:vertAlign w:val="subscript"/>
        </w:rPr>
        <w:t xml:space="preserve"> </w:t>
      </w:r>
      <w:r w:rsidR="00D516E3">
        <w:rPr>
          <w:vertAlign w:val="subscript"/>
        </w:rPr>
        <w:tab/>
      </w:r>
      <w:r w:rsidR="00D516E3">
        <w:rPr>
          <w:vertAlign w:val="subscript"/>
        </w:rPr>
        <w:tab/>
      </w:r>
      <w:r w:rsidR="00D516E3">
        <w:rPr>
          <w:vertAlign w:val="subscript"/>
        </w:rPr>
        <w:tab/>
      </w:r>
      <w:r w:rsidR="00D516E3">
        <w:t>(C.5)</w:t>
      </w:r>
    </w:p>
    <w:p w14:paraId="7AD14E14" w14:textId="77777777" w:rsidR="00E72CA9" w:rsidRDefault="00E72CA9">
      <w:pPr>
        <w:jc w:val="center"/>
        <w:rPr>
          <w:vertAlign w:val="subscript"/>
        </w:rPr>
      </w:pPr>
    </w:p>
    <w:p w14:paraId="4AAD3DDD" w14:textId="77777777" w:rsidR="00E72CA9" w:rsidRDefault="00D516E3">
      <w:pPr>
        <w:pStyle w:val="ICRPannexparagraph"/>
        <w:ind w:left="0"/>
      </w:pPr>
      <w:r>
        <w:t xml:space="preserve">For convenience, one can define </w:t>
      </w:r>
      <m:oMath>
        <m:r>
          <w:rPr>
            <w:rFonts w:ascii="Cambria Math" w:hAnsi="Cambria Math"/>
            <w:vertAlign w:val="subscript"/>
          </w:rPr>
          <m:t>(</m:t>
        </m:r>
        <m:sSub>
          <m:sSubPr>
            <m:ctrlPr>
              <w:rPr>
                <w:rFonts w:ascii="Cambria Math" w:eastAsia="Times New Roman" w:hAnsi="Cambria Math"/>
                <w:i/>
                <w:szCs w:val="24"/>
                <w:vertAlign w:val="subscript"/>
                <w:lang w:eastAsia="en-US"/>
              </w:rPr>
            </m:ctrlPr>
          </m:sSubPr>
          <m:e>
            <m:f>
              <m:fPr>
                <m:ctrlPr>
                  <w:rPr>
                    <w:rFonts w:ascii="Cambria Math" w:eastAsia="Times New Roman" w:hAnsi="Cambria Math"/>
                    <w:i/>
                    <w:szCs w:val="24"/>
                    <w:vertAlign w:val="subscript"/>
                    <w:lang w:eastAsia="en-US"/>
                  </w:rPr>
                </m:ctrlPr>
              </m:fPr>
              <m:num>
                <m:sSub>
                  <m:sSubPr>
                    <m:ctrlPr>
                      <w:rPr>
                        <w:rFonts w:ascii="Cambria Math" w:eastAsia="Times New Roman" w:hAnsi="Cambria Math"/>
                        <w:i/>
                        <w:iCs/>
                        <w:szCs w:val="24"/>
                        <w:lang w:eastAsia="en-US"/>
                      </w:rPr>
                    </m:ctrlPr>
                  </m:sSubPr>
                  <m:e>
                    <m:r>
                      <w:rPr>
                        <w:rFonts w:ascii="Cambria Math" w:hAnsi="Cambria Math"/>
                      </w:rPr>
                      <m:t>μ</m:t>
                    </m:r>
                  </m:e>
                  <m:sub>
                    <m:r>
                      <m:rPr>
                        <m:sty m:val="p"/>
                      </m:rPr>
                      <w:rPr>
                        <w:rFonts w:ascii="Cambria Math" w:hAnsi="Cambria Math"/>
                      </w:rPr>
                      <m:t>en</m:t>
                    </m:r>
                  </m:sub>
                </m:sSub>
              </m:num>
              <m:den>
                <m:r>
                  <w:rPr>
                    <w:rFonts w:ascii="Cambria Math" w:hAnsi="Cambria Math"/>
                    <w:vertAlign w:val="subscript"/>
                  </w:rPr>
                  <m:t>ρ</m:t>
                </m:r>
              </m:den>
            </m:f>
            <m:r>
              <w:rPr>
                <w:rFonts w:ascii="Cambria Math" w:hAnsi="Cambria Math"/>
                <w:vertAlign w:val="subscript"/>
              </w:rPr>
              <m:t>)</m:t>
            </m:r>
          </m:e>
          <m:sub>
            <m:r>
              <m:rPr>
                <m:sty m:val="p"/>
              </m:rPr>
              <w:rPr>
                <w:rFonts w:ascii="Cambria Math" w:hAnsi="Cambria Math"/>
                <w:vertAlign w:val="subscript"/>
              </w:rPr>
              <m:t>AM</m:t>
            </m:r>
          </m:sub>
        </m:sSub>
        <m:r>
          <w:rPr>
            <w:rFonts w:ascii="Cambria Math" w:eastAsia="Times New Roman" w:hAnsi="Cambria Math"/>
            <w:szCs w:val="24"/>
            <w:vertAlign w:val="subscript"/>
            <w:lang w:eastAsia="en-US"/>
          </w:rPr>
          <m:t xml:space="preserve"> </m:t>
        </m:r>
      </m:oMath>
      <w:r>
        <w:t>as:</w:t>
      </w:r>
    </w:p>
    <w:p w14:paraId="732B3700" w14:textId="77777777" w:rsidR="00E72CA9" w:rsidRDefault="00E72CA9"/>
    <w:p w14:paraId="5BE9F488" w14:textId="77777777" w:rsidR="00E72CA9" w:rsidRDefault="00AD0DD0">
      <w:pPr>
        <w:jc w:val="right"/>
      </w:pPr>
      <m:oMath>
        <m:sSub>
          <m:sSubPr>
            <m:ctrlPr>
              <w:rPr>
                <w:rFonts w:ascii="Cambria Math" w:hAnsi="Cambria Math"/>
                <w:i/>
              </w:rPr>
            </m:ctrlPr>
          </m:sSubPr>
          <m:e>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μ</m:t>
                    </m:r>
                  </m:e>
                  <m:sub>
                    <m:r>
                      <m:rPr>
                        <m:sty m:val="p"/>
                      </m:rPr>
                      <w:rPr>
                        <w:rFonts w:ascii="Cambria Math" w:hAnsi="Cambria Math"/>
                      </w:rPr>
                      <m:t>en</m:t>
                    </m:r>
                  </m:sub>
                </m:sSub>
                <m:r>
                  <w:rPr>
                    <w:rFonts w:ascii="Cambria Math" w:hAnsi="Cambria Math"/>
                  </w:rPr>
                  <m:t xml:space="preserve">  </m:t>
                </m:r>
              </m:num>
              <m:den>
                <m:r>
                  <w:rPr>
                    <w:rFonts w:ascii="Cambria Math" w:hAnsi="Cambria Math"/>
                  </w:rPr>
                  <m:t>ρ</m:t>
                </m:r>
              </m:den>
            </m:f>
            <m:r>
              <w:rPr>
                <w:rFonts w:ascii="Cambria Math" w:hAnsi="Cambria Math"/>
              </w:rPr>
              <m:t>)</m:t>
            </m:r>
          </m:e>
          <m:sub>
            <m:r>
              <w:rPr>
                <w:rFonts w:ascii="Cambria Math" w:hAnsi="Cambria Math"/>
              </w:rPr>
              <m:t>TM50</m:t>
            </m:r>
          </m:sub>
        </m:sSub>
        <m:r>
          <w:rPr>
            <w:rFonts w:ascii="Cambria Math" w:hAnsi="Cambria Math"/>
          </w:rPr>
          <m:t>=</m:t>
        </m:r>
        <m:f>
          <m:fPr>
            <m:ctrlPr>
              <w:rPr>
                <w:rFonts w:ascii="Cambria Math" w:hAnsi="Cambria Math"/>
                <w:i/>
                <w:vertAlign w:val="subscript"/>
              </w:rPr>
            </m:ctrlPr>
          </m:fPr>
          <m:num>
            <m:r>
              <w:rPr>
                <w:rFonts w:ascii="Cambria Math" w:hAnsi="Cambria Math"/>
              </w:rPr>
              <m:t>(C</m:t>
            </m:r>
            <m:sSub>
              <m:sSubPr>
                <m:ctrlPr>
                  <w:rPr>
                    <w:rFonts w:ascii="Cambria Math" w:hAnsi="Cambria Math"/>
                    <w:i/>
                    <w:iCs/>
                  </w:rPr>
                </m:ctrlPr>
              </m:sSubPr>
              <m:e>
                <m:r>
                  <w:rPr>
                    <w:rFonts w:ascii="Cambria Math" w:hAnsi="Cambria Math"/>
                  </w:rPr>
                  <m:t>F</m:t>
                </m:r>
              </m:e>
              <m:sub>
                <m:r>
                  <m:rPr>
                    <m:sty m:val="p"/>
                  </m:rPr>
                  <w:rPr>
                    <w:rFonts w:ascii="Cambria Math" w:hAnsi="Cambria Math"/>
                  </w:rPr>
                  <m:t>x</m:t>
                </m:r>
              </m:sub>
            </m:sSub>
            <m:r>
              <m:rPr>
                <m:sty m:val="p"/>
              </m:rPr>
              <w:rPr>
                <w:rFonts w:ascii="Cambria Math" w:hAnsi="Cambria Math"/>
              </w:rPr>
              <m:t xml:space="preserve">  </m:t>
            </m:r>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AM</m:t>
                </m:r>
              </m:sub>
            </m:sSub>
            <m:r>
              <m:rPr>
                <m:sty m:val="p"/>
              </m:rPr>
              <w:rPr>
                <w:rFonts w:ascii="Cambria Math" w:hAnsi="Cambria Math"/>
                <w:vertAlign w:val="subscript"/>
              </w:rPr>
              <m:t xml:space="preserve"> </m:t>
            </m:r>
            <m:r>
              <w:rPr>
                <w:rFonts w:ascii="Cambria Math" w:hAnsi="Cambria Math"/>
                <w:vertAlign w:val="subscript"/>
              </w:rPr>
              <m:t>(</m:t>
            </m:r>
            <m:sSub>
              <m:sSubPr>
                <m:ctrlPr>
                  <w:rPr>
                    <w:rFonts w:ascii="Cambria Math" w:hAnsi="Cambria Math"/>
                    <w:i/>
                    <w:vertAlign w:val="subscript"/>
                  </w:rPr>
                </m:ctrlPr>
              </m:sSubPr>
              <m:e>
                <m:f>
                  <m:fPr>
                    <m:ctrlPr>
                      <w:rPr>
                        <w:rFonts w:ascii="Cambria Math" w:hAnsi="Cambria Math"/>
                        <w:i/>
                        <w:vertAlign w:val="subscript"/>
                      </w:rPr>
                    </m:ctrlPr>
                  </m:fPr>
                  <m:num>
                    <m:sSub>
                      <m:sSubPr>
                        <m:ctrlPr>
                          <w:rPr>
                            <w:rFonts w:ascii="Cambria Math" w:hAnsi="Cambria Math"/>
                            <w:i/>
                            <w:iCs/>
                          </w:rPr>
                        </m:ctrlPr>
                      </m:sSubPr>
                      <m:e>
                        <m:r>
                          <w:rPr>
                            <w:rFonts w:ascii="Cambria Math" w:hAnsi="Cambria Math"/>
                          </w:rPr>
                          <m:t>μ</m:t>
                        </m:r>
                      </m:e>
                      <m:sub>
                        <m:r>
                          <m:rPr>
                            <m:sty m:val="p"/>
                          </m:rPr>
                          <w:rPr>
                            <w:rFonts w:ascii="Cambria Math" w:hAnsi="Cambria Math"/>
                          </w:rPr>
                          <m:t>en</m:t>
                        </m:r>
                      </m:sub>
                    </m:sSub>
                  </m:num>
                  <m:den>
                    <m:r>
                      <w:rPr>
                        <w:rFonts w:ascii="Cambria Math" w:hAnsi="Cambria Math"/>
                        <w:vertAlign w:val="subscript"/>
                      </w:rPr>
                      <m:t>ρ</m:t>
                    </m:r>
                  </m:den>
                </m:f>
                <m:r>
                  <w:rPr>
                    <w:rFonts w:ascii="Cambria Math" w:hAnsi="Cambria Math"/>
                    <w:vertAlign w:val="subscript"/>
                  </w:rPr>
                  <m:t>)</m:t>
                </m:r>
              </m:e>
              <m:sub>
                <m:r>
                  <m:rPr>
                    <m:sty m:val="p"/>
                  </m:rPr>
                  <w:rPr>
                    <w:rFonts w:ascii="Cambria Math" w:hAnsi="Cambria Math"/>
                    <w:vertAlign w:val="subscript"/>
                  </w:rPr>
                  <m:t>AM</m:t>
                </m:r>
              </m:sub>
            </m:sSub>
            <m:r>
              <w:rPr>
                <w:rFonts w:ascii="Cambria Math" w:hAnsi="Cambria Math"/>
                <w:vertAlign w:val="subscript"/>
              </w:rPr>
              <m:t>+(1-C</m:t>
            </m:r>
            <m:sSub>
              <m:sSubPr>
                <m:ctrlPr>
                  <w:rPr>
                    <w:rFonts w:ascii="Cambria Math" w:hAnsi="Cambria Math"/>
                    <w:i/>
                    <w:vertAlign w:val="subscript"/>
                  </w:rPr>
                </m:ctrlPr>
              </m:sSubPr>
              <m:e>
                <m:r>
                  <w:rPr>
                    <w:rFonts w:ascii="Cambria Math" w:hAnsi="Cambria Math"/>
                    <w:vertAlign w:val="subscript"/>
                  </w:rPr>
                  <m:t>F</m:t>
                </m:r>
              </m:e>
              <m:sub>
                <m:r>
                  <w:rPr>
                    <w:rFonts w:ascii="Cambria Math" w:hAnsi="Cambria Math"/>
                    <w:vertAlign w:val="subscript"/>
                  </w:rPr>
                  <m:t>x</m:t>
                </m:r>
              </m:sub>
            </m:sSub>
            <m:r>
              <m:rPr>
                <m:sty m:val="p"/>
              </m:rPr>
              <w:rPr>
                <w:rFonts w:ascii="Cambria Math" w:hAnsi="Cambria Math"/>
                <w:vertAlign w:val="subscript"/>
              </w:rPr>
              <m:t xml:space="preserve">  </m:t>
            </m:r>
            <m:r>
              <m:rPr>
                <m:sty m:val="p"/>
              </m:rPr>
              <w:rPr>
                <w:rFonts w:ascii="Cambria Math" w:hAnsi="Cambria Math"/>
              </w:rPr>
              <m:t>)</m:t>
            </m:r>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IM</m:t>
                </m:r>
              </m:sub>
            </m:sSub>
            <m:r>
              <w:rPr>
                <w:rFonts w:ascii="Cambria Math" w:hAnsi="Cambria Math"/>
                <w:vertAlign w:val="subscript"/>
              </w:rPr>
              <m:t>(</m:t>
            </m:r>
            <m:sSub>
              <m:sSubPr>
                <m:ctrlPr>
                  <w:rPr>
                    <w:rFonts w:ascii="Cambria Math" w:hAnsi="Cambria Math"/>
                    <w:i/>
                    <w:vertAlign w:val="subscript"/>
                  </w:rPr>
                </m:ctrlPr>
              </m:sSubPr>
              <m:e>
                <m:f>
                  <m:fPr>
                    <m:ctrlPr>
                      <w:rPr>
                        <w:rFonts w:ascii="Cambria Math" w:hAnsi="Cambria Math"/>
                        <w:i/>
                        <w:vertAlign w:val="subscript"/>
                      </w:rPr>
                    </m:ctrlPr>
                  </m:fPr>
                  <m:num>
                    <m:sSub>
                      <m:sSubPr>
                        <m:ctrlPr>
                          <w:rPr>
                            <w:rFonts w:ascii="Cambria Math" w:hAnsi="Cambria Math"/>
                            <w:i/>
                            <w:iCs/>
                          </w:rPr>
                        </m:ctrlPr>
                      </m:sSubPr>
                      <m:e>
                        <m:r>
                          <w:rPr>
                            <w:rFonts w:ascii="Cambria Math" w:hAnsi="Cambria Math"/>
                          </w:rPr>
                          <m:t>μ</m:t>
                        </m:r>
                      </m:e>
                      <m:sub>
                        <m:r>
                          <m:rPr>
                            <m:sty m:val="p"/>
                          </m:rPr>
                          <w:rPr>
                            <w:rFonts w:ascii="Cambria Math" w:hAnsi="Cambria Math"/>
                          </w:rPr>
                          <m:t>en</m:t>
                        </m:r>
                      </m:sub>
                    </m:sSub>
                  </m:num>
                  <m:den>
                    <m:r>
                      <w:rPr>
                        <w:rFonts w:ascii="Cambria Math" w:hAnsi="Cambria Math"/>
                        <w:vertAlign w:val="subscript"/>
                      </w:rPr>
                      <m:t>ρ</m:t>
                    </m:r>
                  </m:den>
                </m:f>
                <m:r>
                  <w:rPr>
                    <w:rFonts w:ascii="Cambria Math" w:hAnsi="Cambria Math"/>
                    <w:vertAlign w:val="subscript"/>
                  </w:rPr>
                  <m:t>)</m:t>
                </m:r>
              </m:e>
              <m:sub>
                <m:r>
                  <m:rPr>
                    <m:sty m:val="p"/>
                  </m:rPr>
                  <w:rPr>
                    <w:rFonts w:ascii="Cambria Math" w:hAnsi="Cambria Math"/>
                    <w:vertAlign w:val="subscript"/>
                  </w:rPr>
                  <m:t>IM</m:t>
                </m:r>
              </m:sub>
            </m:sSub>
          </m:num>
          <m:den>
            <m:r>
              <w:rPr>
                <w:rFonts w:ascii="Cambria Math" w:hAnsi="Cambria Math"/>
              </w:rPr>
              <m:t>(C</m:t>
            </m:r>
            <m:sSub>
              <m:sSubPr>
                <m:ctrlPr>
                  <w:rPr>
                    <w:rFonts w:ascii="Cambria Math" w:hAnsi="Cambria Math"/>
                    <w:i/>
                    <w:iCs/>
                  </w:rPr>
                </m:ctrlPr>
              </m:sSubPr>
              <m:e>
                <m:r>
                  <w:rPr>
                    <w:rFonts w:ascii="Cambria Math" w:hAnsi="Cambria Math"/>
                  </w:rPr>
                  <m:t>F</m:t>
                </m:r>
              </m:e>
              <m:sub>
                <m:r>
                  <m:rPr>
                    <m:sty m:val="p"/>
                  </m:rPr>
                  <w:rPr>
                    <w:rFonts w:ascii="Cambria Math" w:hAnsi="Cambria Math"/>
                  </w:rPr>
                  <m:t>x</m:t>
                </m:r>
              </m:sub>
            </m:sSub>
            <m:r>
              <m:rPr>
                <m:sty m:val="p"/>
              </m:rPr>
              <w:rPr>
                <w:rFonts w:ascii="Cambria Math" w:hAnsi="Cambria Math"/>
              </w:rPr>
              <m:t xml:space="preserve"> </m:t>
            </m:r>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AM</m:t>
                </m:r>
              </m:sub>
            </m:sSub>
            <m:r>
              <w:rPr>
                <w:rFonts w:ascii="Cambria Math" w:hAnsi="Cambria Math"/>
                <w:vertAlign w:val="subscript"/>
              </w:rPr>
              <m:t>+</m:t>
            </m:r>
            <m:d>
              <m:dPr>
                <m:ctrlPr>
                  <w:rPr>
                    <w:rFonts w:ascii="Cambria Math" w:hAnsi="Cambria Math"/>
                    <w:i/>
                    <w:vertAlign w:val="subscript"/>
                  </w:rPr>
                </m:ctrlPr>
              </m:dPr>
              <m:e>
                <m:r>
                  <w:rPr>
                    <w:rFonts w:ascii="Cambria Math" w:hAnsi="Cambria Math"/>
                    <w:vertAlign w:val="subscript"/>
                  </w:rPr>
                  <m:t>1-C</m:t>
                </m:r>
                <m:sSub>
                  <m:sSubPr>
                    <m:ctrlPr>
                      <w:rPr>
                        <w:rFonts w:ascii="Cambria Math" w:hAnsi="Cambria Math"/>
                        <w:i/>
                        <w:vertAlign w:val="subscript"/>
                      </w:rPr>
                    </m:ctrlPr>
                  </m:sSubPr>
                  <m:e>
                    <m:r>
                      <w:rPr>
                        <w:rFonts w:ascii="Cambria Math" w:hAnsi="Cambria Math"/>
                        <w:vertAlign w:val="subscript"/>
                      </w:rPr>
                      <m:t>F</m:t>
                    </m:r>
                  </m:e>
                  <m:sub>
                    <m:r>
                      <m:rPr>
                        <m:sty m:val="p"/>
                      </m:rPr>
                      <w:rPr>
                        <w:rFonts w:ascii="Cambria Math" w:hAnsi="Cambria Math"/>
                        <w:vertAlign w:val="subscript"/>
                      </w:rPr>
                      <m:t>x</m:t>
                    </m:r>
                  </m:sub>
                </m:sSub>
                <m:r>
                  <m:rPr>
                    <m:sty m:val="p"/>
                  </m:rPr>
                  <w:rPr>
                    <w:rFonts w:ascii="Cambria Math" w:hAnsi="Cambria Math"/>
                    <w:vertAlign w:val="subscript"/>
                  </w:rPr>
                  <m:t xml:space="preserve">  </m:t>
                </m:r>
                <m:ctrlPr>
                  <w:rPr>
                    <w:rFonts w:ascii="Cambria Math" w:hAnsi="Cambria Math"/>
                    <w:iCs/>
                  </w:rPr>
                </m:ctrlPr>
              </m:e>
            </m:d>
            <m:sSub>
              <m:sSubPr>
                <m:ctrlPr>
                  <w:rPr>
                    <w:rFonts w:ascii="Cambria Math" w:hAnsi="Cambria Math"/>
                    <w:i/>
                    <w:lang w:val="de-DE"/>
                  </w:rPr>
                </m:ctrlPr>
              </m:sSubPr>
              <m:e>
                <m:r>
                  <w:rPr>
                    <w:rFonts w:ascii="Cambria Math" w:hAnsi="Cambria Math"/>
                    <w:lang w:val="de-DE"/>
                  </w:rPr>
                  <m:t>ρ</m:t>
                </m:r>
              </m:e>
              <m:sub>
                <m:r>
                  <m:rPr>
                    <m:sty m:val="p"/>
                  </m:rPr>
                  <w:rPr>
                    <w:rFonts w:ascii="Cambria Math" w:hAnsi="Cambria Math"/>
                  </w:rPr>
                  <m:t>IM</m:t>
                </m:r>
              </m:sub>
            </m:sSub>
            <m:r>
              <w:rPr>
                <w:rFonts w:ascii="Cambria Math" w:hAnsi="Cambria Math"/>
              </w:rPr>
              <m:t xml:space="preserve"> </m:t>
            </m:r>
          </m:den>
        </m:f>
      </m:oMath>
      <w:r w:rsidR="00D516E3">
        <w:rPr>
          <w:vertAlign w:val="subscript"/>
        </w:rPr>
        <w:tab/>
      </w:r>
      <w:r w:rsidR="00D516E3">
        <w:rPr>
          <w:vertAlign w:val="subscript"/>
        </w:rPr>
        <w:tab/>
      </w:r>
      <w:r w:rsidR="00D516E3">
        <w:rPr>
          <w:vertAlign w:val="subscript"/>
        </w:rPr>
        <w:tab/>
      </w:r>
      <w:r w:rsidR="00D516E3">
        <w:t>(C.6</w:t>
      </w:r>
      <w:r w:rsidR="00D516E3">
        <w:rPr>
          <w:vertAlign w:val="subscript"/>
        </w:rPr>
        <w:t>)</w:t>
      </w:r>
    </w:p>
    <w:p w14:paraId="3956F739" w14:textId="77777777" w:rsidR="00E72CA9" w:rsidRDefault="00E72CA9"/>
    <w:p w14:paraId="58571C2C" w14:textId="77777777" w:rsidR="00E72CA9" w:rsidRDefault="00D516E3">
      <w:pPr>
        <w:pStyle w:val="ICRPannexparagraph"/>
        <w:tabs>
          <w:tab w:val="clear" w:pos="646"/>
          <w:tab w:val="clear" w:pos="1004"/>
          <w:tab w:val="num" w:pos="993"/>
        </w:tabs>
        <w:ind w:left="0"/>
      </w:pPr>
      <w:r>
        <w:t>The above equation is valid if secondary electron equilibrium exists. If this is not the case, a DRF can be used to derive absorbed dose for AM or skeletal endosteum (TM</w:t>
      </w:r>
      <w:r>
        <w:rPr>
          <w:vertAlign w:val="subscript"/>
        </w:rPr>
        <w:t>50</w:t>
      </w:r>
      <w:r>
        <w:t>), expressed as:</w:t>
      </w:r>
    </w:p>
    <w:p w14:paraId="20E0B55A" w14:textId="77777777" w:rsidR="00E72CA9" w:rsidRDefault="00E72CA9"/>
    <w:p w14:paraId="679A10B7" w14:textId="77777777" w:rsidR="00E72CA9" w:rsidRDefault="00AD0DD0">
      <w:pPr>
        <w:jc w:val="right"/>
        <w:rPr>
          <w:lang w:val="nl-NL"/>
        </w:rPr>
      </w:pPr>
      <m:oMath>
        <m:sSub>
          <m:sSubPr>
            <m:ctrlPr>
              <w:rPr>
                <w:rFonts w:ascii="Cambria Math" w:hAnsi="Cambria Math"/>
                <w:i/>
                <w:lang w:val="de-DE"/>
              </w:rPr>
            </m:ctrlPr>
          </m:sSubPr>
          <m:e>
            <m:r>
              <w:rPr>
                <w:rFonts w:ascii="Cambria Math" w:hAnsi="Cambria Math"/>
                <w:lang w:val="de-DE"/>
              </w:rPr>
              <m:t>D</m:t>
            </m:r>
          </m:e>
          <m:sub>
            <m:r>
              <m:rPr>
                <m:sty m:val="p"/>
              </m:rPr>
              <w:rPr>
                <w:rFonts w:ascii="Cambria Math" w:hAnsi="Cambria Math"/>
                <w:lang w:val="nl-NL"/>
              </w:rPr>
              <m:t>AM</m:t>
            </m:r>
            <m:r>
              <w:rPr>
                <w:rFonts w:ascii="Cambria Math" w:hAnsi="Cambria Math"/>
                <w:lang w:val="nl-NL"/>
              </w:rPr>
              <m:t>,</m:t>
            </m:r>
            <m:r>
              <m:rPr>
                <m:sty m:val="p"/>
              </m:rPr>
              <w:rPr>
                <w:rFonts w:ascii="Cambria Math" w:hAnsi="Cambria Math"/>
              </w:rPr>
              <m:t>x</m:t>
            </m:r>
          </m:sub>
        </m:sSub>
        <m:r>
          <w:rPr>
            <w:rFonts w:ascii="Cambria Math" w:hAnsi="Cambria Math"/>
            <w:lang w:val="nl-NL"/>
          </w:rPr>
          <m:t>=</m:t>
        </m:r>
        <m:nary>
          <m:naryPr>
            <m:limLoc m:val="undOvr"/>
            <m:subHide m:val="1"/>
            <m:supHide m:val="1"/>
            <m:ctrlPr>
              <w:rPr>
                <w:rFonts w:ascii="Cambria Math" w:hAnsi="Cambria Math"/>
                <w:i/>
                <w:lang w:val="de-DE"/>
              </w:rPr>
            </m:ctrlPr>
          </m:naryPr>
          <m:sub/>
          <m:sup/>
          <m:e>
            <m:r>
              <m:rPr>
                <m:sty m:val="p"/>
              </m:rPr>
              <w:rPr>
                <w:rFonts w:ascii="Cambria Math" w:hAnsi="Cambria Math"/>
                <w:vertAlign w:val="subscript"/>
                <w:lang w:val="nl-NL"/>
              </w:rPr>
              <m:t>DRF</m:t>
            </m:r>
            <m:d>
              <m:dPr>
                <m:ctrlPr>
                  <w:rPr>
                    <w:rFonts w:ascii="Cambria Math" w:hAnsi="Cambria Math"/>
                    <w:i/>
                    <w:vertAlign w:val="subscript"/>
                  </w:rPr>
                </m:ctrlPr>
              </m:dPr>
              <m:e>
                <m:r>
                  <w:rPr>
                    <w:rFonts w:ascii="Cambria Math" w:hAnsi="Cambria Math"/>
                    <w:vertAlign w:val="subscript"/>
                  </w:rPr>
                  <m:t>E</m:t>
                </m:r>
                <m:r>
                  <w:rPr>
                    <w:rFonts w:ascii="Cambria Math" w:hAnsi="Cambria Math"/>
                    <w:vertAlign w:val="subscript"/>
                    <w:lang w:val="nl-NL"/>
                  </w:rPr>
                  <m:t>,</m:t>
                </m:r>
                <m:r>
                  <m:rPr>
                    <m:sty m:val="p"/>
                  </m:rPr>
                  <w:rPr>
                    <w:rFonts w:ascii="Cambria Math" w:hAnsi="Cambria Math"/>
                    <w:vertAlign w:val="subscript"/>
                    <w:lang w:val="nl-NL"/>
                  </w:rPr>
                  <m:t>AM</m:t>
                </m:r>
                <m:r>
                  <w:rPr>
                    <w:rFonts w:ascii="Cambria Math" w:hAnsi="Cambria Math"/>
                    <w:vertAlign w:val="subscript"/>
                    <w:lang w:val="nl-NL"/>
                  </w:rPr>
                  <m:t>,</m:t>
                </m:r>
                <m:r>
                  <w:rPr>
                    <w:rFonts w:ascii="Cambria Math" w:hAnsi="Cambria Math"/>
                    <w:vertAlign w:val="subscript"/>
                  </w:rPr>
                  <m:t>x</m:t>
                </m:r>
              </m:e>
            </m:d>
            <m:r>
              <w:rPr>
                <w:rFonts w:ascii="Cambria Math" w:hAnsi="Cambria Math"/>
                <w:vertAlign w:val="subscript"/>
                <w:lang w:val="nl-NL"/>
              </w:rPr>
              <m:t xml:space="preserve"> </m:t>
            </m:r>
            <m:sSub>
              <m:sSubPr>
                <m:ctrlPr>
                  <w:rPr>
                    <w:rFonts w:ascii="Cambria Math" w:hAnsi="Cambria Math"/>
                    <w:i/>
                    <w:vertAlign w:val="subscript"/>
                  </w:rPr>
                </m:ctrlPr>
              </m:sSubPr>
              <m:e>
                <m:r>
                  <w:rPr>
                    <w:rFonts w:ascii="Cambria Math" w:hAnsi="Cambria Math"/>
                    <w:vertAlign w:val="subscript"/>
                  </w:rPr>
                  <m:t>Φ</m:t>
                </m:r>
              </m:e>
              <m:sub>
                <m:r>
                  <m:rPr>
                    <m:sty m:val="p"/>
                  </m:rPr>
                  <w:rPr>
                    <w:rFonts w:ascii="Cambria Math" w:hAnsi="Cambria Math"/>
                    <w:vertAlign w:val="subscript"/>
                  </w:rPr>
                  <m:t>E</m:t>
                </m:r>
              </m:sub>
            </m:sSub>
            <m:r>
              <m:rPr>
                <m:sty m:val="p"/>
              </m:rPr>
              <w:rPr>
                <w:rFonts w:ascii="Cambria Math" w:hAnsi="Cambria Math"/>
                <w:vertAlign w:val="subscript"/>
                <w:lang w:val="nl-NL"/>
              </w:rPr>
              <m:t>d</m:t>
            </m:r>
            <m:r>
              <w:rPr>
                <w:rFonts w:ascii="Cambria Math" w:hAnsi="Cambria Math"/>
                <w:vertAlign w:val="subscript"/>
              </w:rPr>
              <m:t>E</m:t>
            </m:r>
          </m:e>
        </m:nary>
      </m:oMath>
      <w:r w:rsidR="00D516E3">
        <w:rPr>
          <w:lang w:val="nl-NL"/>
        </w:rPr>
        <w:tab/>
      </w:r>
      <w:r w:rsidR="00D516E3">
        <w:rPr>
          <w:lang w:val="nl-NL"/>
        </w:rPr>
        <w:tab/>
      </w:r>
      <w:r w:rsidR="00D516E3">
        <w:rPr>
          <w:lang w:val="nl-NL"/>
        </w:rPr>
        <w:tab/>
      </w:r>
      <w:r w:rsidR="00D516E3">
        <w:rPr>
          <w:lang w:val="nl-NL"/>
        </w:rPr>
        <w:tab/>
        <w:t xml:space="preserve"> (C.7)</w:t>
      </w:r>
    </w:p>
    <w:p w14:paraId="1C802036" w14:textId="77777777" w:rsidR="00E72CA9" w:rsidRDefault="00E72CA9">
      <w:pPr>
        <w:jc w:val="center"/>
        <w:rPr>
          <w:lang w:val="nl-NL"/>
        </w:rPr>
      </w:pPr>
    </w:p>
    <w:p w14:paraId="7A608863" w14:textId="77777777" w:rsidR="00E72CA9" w:rsidRDefault="00AD0DD0">
      <w:pPr>
        <w:jc w:val="right"/>
        <w:rPr>
          <w:lang w:val="nl-NL"/>
        </w:rPr>
      </w:pPr>
      <m:oMath>
        <m:sSub>
          <m:sSubPr>
            <m:ctrlPr>
              <w:rPr>
                <w:rFonts w:ascii="Cambria Math" w:hAnsi="Cambria Math"/>
                <w:i/>
                <w:lang w:val="de-DE"/>
              </w:rPr>
            </m:ctrlPr>
          </m:sSubPr>
          <m:e>
            <m:r>
              <w:rPr>
                <w:rFonts w:ascii="Cambria Math" w:hAnsi="Cambria Math"/>
                <w:lang w:val="de-DE"/>
              </w:rPr>
              <m:t>D</m:t>
            </m:r>
          </m:e>
          <m:sub>
            <m:sSub>
              <m:sSubPr>
                <m:ctrlPr>
                  <w:rPr>
                    <w:rFonts w:ascii="Cambria Math" w:hAnsi="Cambria Math"/>
                    <w:i/>
                    <w:lang w:val="de-DE"/>
                  </w:rPr>
                </m:ctrlPr>
              </m:sSubPr>
              <m:e>
                <m:r>
                  <m:rPr>
                    <m:sty m:val="p"/>
                  </m:rPr>
                  <w:rPr>
                    <w:rFonts w:ascii="Cambria Math" w:hAnsi="Cambria Math"/>
                    <w:lang w:val="nl-NL"/>
                  </w:rPr>
                  <m:t>TM</m:t>
                </m:r>
              </m:e>
              <m:sub>
                <m:r>
                  <w:rPr>
                    <w:rFonts w:ascii="Cambria Math" w:hAnsi="Cambria Math"/>
                    <w:lang w:val="nl-NL"/>
                  </w:rPr>
                  <m:t>50</m:t>
                </m:r>
              </m:sub>
            </m:sSub>
            <m:r>
              <w:rPr>
                <w:rFonts w:ascii="Cambria Math" w:hAnsi="Cambria Math"/>
                <w:lang w:val="nl-NL"/>
              </w:rPr>
              <m:t>,</m:t>
            </m:r>
            <m:r>
              <m:rPr>
                <m:sty m:val="p"/>
              </m:rPr>
              <w:rPr>
                <w:rFonts w:ascii="Cambria Math" w:hAnsi="Cambria Math"/>
                <w:lang w:val="nl-NL"/>
              </w:rPr>
              <m:t>x</m:t>
            </m:r>
          </m:sub>
        </m:sSub>
        <m:r>
          <w:rPr>
            <w:rFonts w:ascii="Cambria Math" w:hAnsi="Cambria Math"/>
            <w:lang w:val="nl-NL"/>
          </w:rPr>
          <m:t>=</m:t>
        </m:r>
        <m:nary>
          <m:naryPr>
            <m:limLoc m:val="undOvr"/>
            <m:subHide m:val="1"/>
            <m:supHide m:val="1"/>
            <m:ctrlPr>
              <w:rPr>
                <w:rFonts w:ascii="Cambria Math" w:hAnsi="Cambria Math"/>
                <w:i/>
                <w:lang w:val="de-DE"/>
              </w:rPr>
            </m:ctrlPr>
          </m:naryPr>
          <m:sub/>
          <m:sup/>
          <m:e>
            <m:r>
              <m:rPr>
                <m:sty m:val="p"/>
              </m:rPr>
              <w:rPr>
                <w:rFonts w:ascii="Cambria Math" w:hAnsi="Cambria Math"/>
                <w:vertAlign w:val="subscript"/>
                <w:lang w:val="nl-NL"/>
              </w:rPr>
              <m:t>DRF</m:t>
            </m:r>
            <m:d>
              <m:dPr>
                <m:ctrlPr>
                  <w:rPr>
                    <w:rFonts w:ascii="Cambria Math" w:hAnsi="Cambria Math"/>
                    <w:i/>
                    <w:vertAlign w:val="subscript"/>
                  </w:rPr>
                </m:ctrlPr>
              </m:dPr>
              <m:e>
                <m:r>
                  <w:rPr>
                    <w:rFonts w:ascii="Cambria Math" w:hAnsi="Cambria Math"/>
                    <w:vertAlign w:val="subscript"/>
                  </w:rPr>
                  <m:t>E</m:t>
                </m:r>
                <m:r>
                  <w:rPr>
                    <w:rFonts w:ascii="Cambria Math" w:hAnsi="Cambria Math"/>
                    <w:vertAlign w:val="subscript"/>
                    <w:lang w:val="nl-NL"/>
                  </w:rPr>
                  <m:t>,</m:t>
                </m:r>
                <m:sSub>
                  <m:sSubPr>
                    <m:ctrlPr>
                      <w:rPr>
                        <w:rFonts w:ascii="Cambria Math" w:hAnsi="Cambria Math"/>
                        <w:i/>
                        <w:lang w:val="de-DE"/>
                      </w:rPr>
                    </m:ctrlPr>
                  </m:sSubPr>
                  <m:e>
                    <m:r>
                      <m:rPr>
                        <m:sty m:val="p"/>
                      </m:rPr>
                      <w:rPr>
                        <w:rFonts w:ascii="Cambria Math" w:hAnsi="Cambria Math"/>
                        <w:lang w:val="nl-NL"/>
                      </w:rPr>
                      <m:t>TM</m:t>
                    </m:r>
                  </m:e>
                  <m:sub>
                    <m:r>
                      <w:rPr>
                        <w:rFonts w:ascii="Cambria Math" w:hAnsi="Cambria Math"/>
                        <w:lang w:val="nl-NL"/>
                      </w:rPr>
                      <m:t>50,</m:t>
                    </m:r>
                    <m:r>
                      <m:rPr>
                        <m:sty m:val="p"/>
                      </m:rPr>
                      <w:rPr>
                        <w:rFonts w:ascii="Cambria Math" w:hAnsi="Cambria Math"/>
                        <w:lang w:val="nl-NL"/>
                      </w:rPr>
                      <m:t>x</m:t>
                    </m:r>
                    <m:r>
                      <w:rPr>
                        <w:rFonts w:ascii="Cambria Math" w:hAnsi="Cambria Math"/>
                        <w:lang w:val="nl-NL"/>
                      </w:rPr>
                      <m:t xml:space="preserve"> </m:t>
                    </m:r>
                  </m:sub>
                </m:sSub>
              </m:e>
            </m:d>
            <m:r>
              <w:rPr>
                <w:rFonts w:ascii="Cambria Math" w:hAnsi="Cambria Math"/>
                <w:vertAlign w:val="subscript"/>
                <w:lang w:val="nl-NL"/>
              </w:rPr>
              <m:t xml:space="preserve"> </m:t>
            </m:r>
            <m:sSub>
              <m:sSubPr>
                <m:ctrlPr>
                  <w:rPr>
                    <w:rFonts w:ascii="Cambria Math" w:hAnsi="Cambria Math"/>
                    <w:i/>
                    <w:vertAlign w:val="subscript"/>
                  </w:rPr>
                </m:ctrlPr>
              </m:sSubPr>
              <m:e>
                <m:r>
                  <w:rPr>
                    <w:rFonts w:ascii="Cambria Math" w:hAnsi="Cambria Math"/>
                  </w:rPr>
                  <m:t>Φ</m:t>
                </m:r>
              </m:e>
              <m:sub>
                <m:r>
                  <m:rPr>
                    <m:sty m:val="p"/>
                  </m:rPr>
                  <w:rPr>
                    <w:rFonts w:ascii="Cambria Math" w:hAnsi="Cambria Math"/>
                    <w:vertAlign w:val="subscript"/>
                    <w:lang w:val="nl-NL"/>
                  </w:rPr>
                  <m:t>E</m:t>
                </m:r>
              </m:sub>
            </m:sSub>
            <m:r>
              <m:rPr>
                <m:sty m:val="p"/>
              </m:rPr>
              <w:rPr>
                <w:rFonts w:ascii="Cambria Math" w:hAnsi="Cambria Math"/>
                <w:vertAlign w:val="subscript"/>
                <w:lang w:val="nl-NL"/>
              </w:rPr>
              <m:t>d</m:t>
            </m:r>
            <m:r>
              <w:rPr>
                <w:rFonts w:ascii="Cambria Math" w:hAnsi="Cambria Math"/>
                <w:vertAlign w:val="subscript"/>
              </w:rPr>
              <m:t>E</m:t>
            </m:r>
          </m:e>
        </m:nary>
      </m:oMath>
      <w:r w:rsidR="00D516E3">
        <w:rPr>
          <w:lang w:val="nl-NL"/>
        </w:rPr>
        <w:tab/>
      </w:r>
      <w:r w:rsidR="00D516E3">
        <w:rPr>
          <w:lang w:val="nl-NL"/>
        </w:rPr>
        <w:tab/>
        <w:t xml:space="preserve"> </w:t>
      </w:r>
      <w:r w:rsidR="00D516E3">
        <w:rPr>
          <w:lang w:val="nl-NL"/>
        </w:rPr>
        <w:tab/>
        <w:t xml:space="preserve">   (C.8)</w:t>
      </w:r>
    </w:p>
    <w:p w14:paraId="645D36D3" w14:textId="77777777" w:rsidR="00E72CA9" w:rsidRDefault="00E72CA9">
      <w:pPr>
        <w:jc w:val="center"/>
        <w:rPr>
          <w:lang w:val="nl-NL"/>
        </w:rPr>
      </w:pPr>
    </w:p>
    <w:p w14:paraId="670D160A" w14:textId="77777777" w:rsidR="00E72CA9" w:rsidRDefault="00D516E3">
      <w:pPr>
        <w:pStyle w:val="ICRPannexparagraph"/>
        <w:tabs>
          <w:tab w:val="clear" w:pos="1004"/>
          <w:tab w:val="num" w:pos="862"/>
        </w:tabs>
        <w:ind w:left="0" w:firstLine="142"/>
      </w:pPr>
      <w:r>
        <w:t>An alternative method is the use of a DEF. In this case the absorbed doses are calculated as:</w:t>
      </w:r>
    </w:p>
    <w:p w14:paraId="7C137238" w14:textId="77777777" w:rsidR="00E72CA9" w:rsidRDefault="00E72CA9"/>
    <w:p w14:paraId="1111C076" w14:textId="77777777" w:rsidR="00E72CA9" w:rsidRDefault="00AD0DD0">
      <w:pPr>
        <w:jc w:val="right"/>
      </w:pPr>
      <m:oMath>
        <m:sSub>
          <m:sSubPr>
            <m:ctrlPr>
              <w:rPr>
                <w:rFonts w:ascii="Cambria Math" w:hAnsi="Cambria Math"/>
                <w:i/>
                <w:lang w:val="de-DE"/>
              </w:rPr>
            </m:ctrlPr>
          </m:sSubPr>
          <m:e>
            <m:r>
              <w:rPr>
                <w:rFonts w:ascii="Cambria Math" w:hAnsi="Cambria Math"/>
                <w:lang w:val="de-DE"/>
              </w:rPr>
              <m:t>D</m:t>
            </m:r>
          </m:e>
          <m:sub>
            <m:r>
              <m:rPr>
                <m:sty m:val="p"/>
              </m:rPr>
              <w:rPr>
                <w:rFonts w:ascii="Cambria Math" w:hAnsi="Cambria Math"/>
                <w:lang w:val="nl-NL"/>
              </w:rPr>
              <m:t>AM,</m:t>
            </m:r>
            <m:r>
              <m:rPr>
                <m:sty m:val="p"/>
              </m:rPr>
              <w:rPr>
                <w:rFonts w:ascii="Cambria Math" w:hAnsi="Cambria Math"/>
              </w:rPr>
              <m:t>x</m:t>
            </m:r>
          </m:sub>
        </m:sSub>
        <m:r>
          <w:rPr>
            <w:rFonts w:ascii="Cambria Math" w:hAnsi="Cambria Math"/>
          </w:rPr>
          <m:t>=</m:t>
        </m:r>
        <m:nary>
          <m:naryPr>
            <m:limLoc m:val="undOvr"/>
            <m:subHide m:val="1"/>
            <m:supHide m:val="1"/>
            <m:ctrlPr>
              <w:rPr>
                <w:rFonts w:ascii="Cambria Math" w:hAnsi="Cambria Math"/>
                <w:i/>
                <w:lang w:val="de-DE"/>
              </w:rPr>
            </m:ctrlPr>
          </m:naryPr>
          <m:sub/>
          <m:sup/>
          <m:e>
            <m:r>
              <w:rPr>
                <w:rFonts w:ascii="Cambria Math" w:hAnsi="Cambria Math"/>
                <w:vertAlign w:val="subscript"/>
              </w:rPr>
              <m:t>(</m:t>
            </m:r>
            <m:sSub>
              <m:sSubPr>
                <m:ctrlPr>
                  <w:rPr>
                    <w:rFonts w:ascii="Cambria Math" w:hAnsi="Cambria Math"/>
                    <w:i/>
                    <w:vertAlign w:val="subscript"/>
                  </w:rPr>
                </m:ctrlPr>
              </m:sSubPr>
              <m:e>
                <m:f>
                  <m:fPr>
                    <m:ctrlPr>
                      <w:rPr>
                        <w:rFonts w:ascii="Cambria Math" w:hAnsi="Cambria Math"/>
                        <w:i/>
                        <w:vertAlign w:val="subscript"/>
                      </w:rPr>
                    </m:ctrlPr>
                  </m:fPr>
                  <m:num>
                    <m:sSub>
                      <m:sSubPr>
                        <m:ctrlPr>
                          <w:rPr>
                            <w:rFonts w:ascii="Cambria Math" w:hAnsi="Cambria Math"/>
                            <w:i/>
                            <w:iCs/>
                          </w:rPr>
                        </m:ctrlPr>
                      </m:sSubPr>
                      <m:e>
                        <m:r>
                          <w:rPr>
                            <w:rFonts w:ascii="Cambria Math" w:hAnsi="Cambria Math"/>
                          </w:rPr>
                          <m:t>μ</m:t>
                        </m:r>
                      </m:e>
                      <m:sub>
                        <m:r>
                          <m:rPr>
                            <m:sty m:val="p"/>
                          </m:rPr>
                          <w:rPr>
                            <w:rFonts w:ascii="Cambria Math" w:hAnsi="Cambria Math"/>
                          </w:rPr>
                          <m:t>en</m:t>
                        </m:r>
                      </m:sub>
                    </m:sSub>
                  </m:num>
                  <m:den>
                    <m:r>
                      <w:rPr>
                        <w:rFonts w:ascii="Cambria Math" w:hAnsi="Cambria Math"/>
                        <w:vertAlign w:val="subscript"/>
                      </w:rPr>
                      <m:t>ρ</m:t>
                    </m:r>
                  </m:den>
                </m:f>
                <m:r>
                  <w:rPr>
                    <w:rFonts w:ascii="Cambria Math" w:hAnsi="Cambria Math"/>
                    <w:vertAlign w:val="subscript"/>
                  </w:rPr>
                  <m:t>)</m:t>
                </m:r>
              </m:e>
              <m:sub>
                <m:r>
                  <m:rPr>
                    <m:sty m:val="p"/>
                  </m:rPr>
                  <w:rPr>
                    <w:rFonts w:ascii="Cambria Math" w:hAnsi="Cambria Math"/>
                    <w:vertAlign w:val="subscript"/>
                  </w:rPr>
                  <m:t>AM</m:t>
                </m:r>
              </m:sub>
            </m:sSub>
            <m:r>
              <w:rPr>
                <w:rFonts w:ascii="Cambria Math" w:hAnsi="Cambria Math"/>
                <w:vertAlign w:val="subscript"/>
              </w:rPr>
              <m:t xml:space="preserve"> </m:t>
            </m:r>
            <m:r>
              <m:rPr>
                <m:sty m:val="p"/>
              </m:rPr>
              <w:rPr>
                <w:rFonts w:ascii="Cambria Math" w:hAnsi="Cambria Math"/>
                <w:vertAlign w:val="subscript"/>
              </w:rPr>
              <m:t>DEF</m:t>
            </m:r>
            <m:d>
              <m:dPr>
                <m:ctrlPr>
                  <w:rPr>
                    <w:rFonts w:ascii="Cambria Math" w:hAnsi="Cambria Math"/>
                    <w:i/>
                    <w:vertAlign w:val="subscript"/>
                  </w:rPr>
                </m:ctrlPr>
              </m:dPr>
              <m:e>
                <m:r>
                  <w:rPr>
                    <w:rFonts w:ascii="Cambria Math" w:hAnsi="Cambria Math"/>
                    <w:vertAlign w:val="subscript"/>
                  </w:rPr>
                  <m:t>E,</m:t>
                </m:r>
                <m:r>
                  <m:rPr>
                    <m:sty m:val="p"/>
                  </m:rPr>
                  <w:rPr>
                    <w:rFonts w:ascii="Cambria Math" w:hAnsi="Cambria Math"/>
                    <w:vertAlign w:val="subscript"/>
                  </w:rPr>
                  <m:t>AM</m:t>
                </m:r>
                <m:r>
                  <w:rPr>
                    <w:rFonts w:ascii="Cambria Math" w:hAnsi="Cambria Math"/>
                    <w:vertAlign w:val="subscript"/>
                  </w:rPr>
                  <m:t>,x</m:t>
                </m:r>
              </m:e>
            </m:d>
            <m:r>
              <w:rPr>
                <w:rFonts w:ascii="Cambria Math" w:hAnsi="Cambria Math"/>
                <w:vertAlign w:val="subscript"/>
              </w:rPr>
              <m:t xml:space="preserve"> E </m:t>
            </m:r>
            <m:sSub>
              <m:sSubPr>
                <m:ctrlPr>
                  <w:rPr>
                    <w:rFonts w:ascii="Cambria Math" w:hAnsi="Cambria Math"/>
                    <w:i/>
                    <w:vertAlign w:val="subscript"/>
                  </w:rPr>
                </m:ctrlPr>
              </m:sSubPr>
              <m:e>
                <m:r>
                  <w:rPr>
                    <w:rFonts w:ascii="Cambria Math" w:hAnsi="Cambria Math"/>
                  </w:rPr>
                  <m:t>Φ</m:t>
                </m:r>
              </m:e>
              <m:sub>
                <m:r>
                  <m:rPr>
                    <m:sty m:val="p"/>
                  </m:rPr>
                  <w:rPr>
                    <w:rFonts w:ascii="Cambria Math" w:hAnsi="Cambria Math"/>
                    <w:vertAlign w:val="subscript"/>
                  </w:rPr>
                  <m:t>E</m:t>
                </m:r>
              </m:sub>
            </m:sSub>
            <m:r>
              <w:rPr>
                <w:rFonts w:ascii="Cambria Math" w:hAnsi="Cambria Math"/>
                <w:vertAlign w:val="subscript"/>
              </w:rPr>
              <m:t xml:space="preserve"> </m:t>
            </m:r>
            <m:r>
              <m:rPr>
                <m:sty m:val="p"/>
              </m:rPr>
              <w:rPr>
                <w:rFonts w:ascii="Cambria Math" w:hAnsi="Cambria Math"/>
                <w:vertAlign w:val="subscript"/>
              </w:rPr>
              <m:t>d</m:t>
            </m:r>
            <m:r>
              <w:rPr>
                <w:rFonts w:ascii="Cambria Math" w:hAnsi="Cambria Math"/>
                <w:vertAlign w:val="subscript"/>
              </w:rPr>
              <m:t>E</m:t>
            </m:r>
          </m:e>
        </m:nary>
      </m:oMath>
      <w:r w:rsidR="00D516E3">
        <w:tab/>
      </w:r>
      <w:r w:rsidR="00D516E3">
        <w:tab/>
      </w:r>
      <w:r w:rsidR="00D516E3">
        <w:tab/>
        <w:t xml:space="preserve">       (C.9)</w:t>
      </w:r>
    </w:p>
    <w:p w14:paraId="71113AEB" w14:textId="77777777" w:rsidR="00E72CA9" w:rsidRDefault="00E72CA9">
      <w:pPr>
        <w:jc w:val="center"/>
      </w:pPr>
    </w:p>
    <w:p w14:paraId="3D0E3139" w14:textId="77777777" w:rsidR="00E72CA9" w:rsidRDefault="00AD0DD0">
      <w:pPr>
        <w:jc w:val="right"/>
      </w:pPr>
      <m:oMath>
        <m:sSub>
          <m:sSubPr>
            <m:ctrlPr>
              <w:rPr>
                <w:rFonts w:ascii="Cambria Math" w:hAnsi="Cambria Math"/>
                <w:i/>
                <w:lang w:val="de-DE"/>
              </w:rPr>
            </m:ctrlPr>
          </m:sSubPr>
          <m:e>
            <m:r>
              <w:rPr>
                <w:rFonts w:ascii="Cambria Math" w:hAnsi="Cambria Math"/>
                <w:lang w:val="de-DE"/>
              </w:rPr>
              <m:t>D</m:t>
            </m:r>
          </m:e>
          <m:sub>
            <m:sSub>
              <m:sSubPr>
                <m:ctrlPr>
                  <w:rPr>
                    <w:rFonts w:ascii="Cambria Math" w:hAnsi="Cambria Math"/>
                    <w:i/>
                    <w:lang w:val="de-DE"/>
                  </w:rPr>
                </m:ctrlPr>
              </m:sSubPr>
              <m:e>
                <m:r>
                  <m:rPr>
                    <m:sty m:val="p"/>
                  </m:rPr>
                  <w:rPr>
                    <w:rFonts w:ascii="Cambria Math" w:hAnsi="Cambria Math"/>
                  </w:rPr>
                  <m:t>TM</m:t>
                </m:r>
              </m:e>
              <m:sub>
                <m:r>
                  <w:rPr>
                    <w:rFonts w:ascii="Cambria Math" w:hAnsi="Cambria Math"/>
                  </w:rPr>
                  <m:t>50</m:t>
                </m:r>
              </m:sub>
            </m:sSub>
            <m:r>
              <w:rPr>
                <w:rFonts w:ascii="Cambria Math" w:hAnsi="Cambria Math"/>
              </w:rPr>
              <m:t>,</m:t>
            </m:r>
            <m:r>
              <m:rPr>
                <m:sty m:val="p"/>
              </m:rPr>
              <w:rPr>
                <w:rFonts w:ascii="Cambria Math" w:hAnsi="Cambria Math"/>
              </w:rPr>
              <m:t>x</m:t>
            </m:r>
          </m:sub>
        </m:sSub>
        <m:r>
          <w:rPr>
            <w:rFonts w:ascii="Cambria Math" w:hAnsi="Cambria Math"/>
          </w:rPr>
          <m:t>=</m:t>
        </m:r>
        <m:nary>
          <m:naryPr>
            <m:limLoc m:val="undOvr"/>
            <m:subHide m:val="1"/>
            <m:supHide m:val="1"/>
            <m:ctrlPr>
              <w:rPr>
                <w:rFonts w:ascii="Cambria Math" w:hAnsi="Cambria Math"/>
                <w:i/>
                <w:lang w:val="de-DE"/>
              </w:rPr>
            </m:ctrlPr>
          </m:naryPr>
          <m:sub/>
          <m:sup/>
          <m:e>
            <m:r>
              <w:rPr>
                <w:rFonts w:ascii="Cambria Math" w:hAnsi="Cambria Math"/>
                <w:vertAlign w:val="subscript"/>
              </w:rPr>
              <m:t>(</m:t>
            </m:r>
            <m:sSub>
              <m:sSubPr>
                <m:ctrlPr>
                  <w:rPr>
                    <w:rFonts w:ascii="Cambria Math" w:hAnsi="Cambria Math"/>
                    <w:i/>
                    <w:vertAlign w:val="subscript"/>
                  </w:rPr>
                </m:ctrlPr>
              </m:sSubPr>
              <m:e>
                <m:f>
                  <m:fPr>
                    <m:ctrlPr>
                      <w:rPr>
                        <w:rFonts w:ascii="Cambria Math" w:hAnsi="Cambria Math"/>
                        <w:i/>
                        <w:vertAlign w:val="subscript"/>
                      </w:rPr>
                    </m:ctrlPr>
                  </m:fPr>
                  <m:num>
                    <m:sSub>
                      <m:sSubPr>
                        <m:ctrlPr>
                          <w:rPr>
                            <w:rFonts w:ascii="Cambria Math" w:hAnsi="Cambria Math"/>
                            <w:i/>
                            <w:iCs/>
                          </w:rPr>
                        </m:ctrlPr>
                      </m:sSubPr>
                      <m:e>
                        <m:r>
                          <w:rPr>
                            <w:rFonts w:ascii="Cambria Math" w:hAnsi="Cambria Math"/>
                          </w:rPr>
                          <m:t>μ</m:t>
                        </m:r>
                      </m:e>
                      <m:sub>
                        <m:r>
                          <m:rPr>
                            <m:sty m:val="p"/>
                          </m:rPr>
                          <w:rPr>
                            <w:rFonts w:ascii="Cambria Math" w:hAnsi="Cambria Math"/>
                          </w:rPr>
                          <m:t>en</m:t>
                        </m:r>
                      </m:sub>
                    </m:sSub>
                  </m:num>
                  <m:den>
                    <m:r>
                      <w:rPr>
                        <w:rFonts w:ascii="Cambria Math" w:hAnsi="Cambria Math"/>
                        <w:vertAlign w:val="subscript"/>
                      </w:rPr>
                      <m:t>ρ</m:t>
                    </m:r>
                  </m:den>
                </m:f>
                <m:r>
                  <w:rPr>
                    <w:rFonts w:ascii="Cambria Math" w:hAnsi="Cambria Math"/>
                    <w:vertAlign w:val="subscript"/>
                  </w:rPr>
                  <m:t>)</m:t>
                </m:r>
              </m:e>
              <m:sub>
                <m:sSub>
                  <m:sSubPr>
                    <m:ctrlPr>
                      <w:rPr>
                        <w:rFonts w:ascii="Cambria Math" w:hAnsi="Cambria Math"/>
                        <w:i/>
                        <w:lang w:val="de-DE"/>
                      </w:rPr>
                    </m:ctrlPr>
                  </m:sSubPr>
                  <m:e>
                    <m:r>
                      <m:rPr>
                        <m:sty m:val="p"/>
                      </m:rPr>
                      <w:rPr>
                        <w:rFonts w:ascii="Cambria Math" w:hAnsi="Cambria Math"/>
                      </w:rPr>
                      <m:t>TM</m:t>
                    </m:r>
                  </m:e>
                  <m:sub>
                    <m:r>
                      <w:rPr>
                        <w:rFonts w:ascii="Cambria Math" w:hAnsi="Cambria Math"/>
                      </w:rPr>
                      <m:t>50</m:t>
                    </m:r>
                  </m:sub>
                </m:sSub>
              </m:sub>
            </m:sSub>
            <m:r>
              <w:rPr>
                <w:rFonts w:ascii="Cambria Math" w:hAnsi="Cambria Math"/>
                <w:vertAlign w:val="subscript"/>
              </w:rPr>
              <m:t xml:space="preserve"> </m:t>
            </m:r>
            <m:r>
              <m:rPr>
                <m:sty m:val="p"/>
              </m:rPr>
              <w:rPr>
                <w:rFonts w:ascii="Cambria Math" w:hAnsi="Cambria Math"/>
                <w:vertAlign w:val="subscript"/>
              </w:rPr>
              <m:t>DEF</m:t>
            </m:r>
            <m:d>
              <m:dPr>
                <m:ctrlPr>
                  <w:rPr>
                    <w:rFonts w:ascii="Cambria Math" w:hAnsi="Cambria Math"/>
                    <w:i/>
                    <w:vertAlign w:val="subscript"/>
                  </w:rPr>
                </m:ctrlPr>
              </m:dPr>
              <m:e>
                <m:r>
                  <w:rPr>
                    <w:rFonts w:ascii="Cambria Math" w:hAnsi="Cambria Math"/>
                    <w:vertAlign w:val="subscript"/>
                  </w:rPr>
                  <m:t>E,</m:t>
                </m:r>
                <m:sSub>
                  <m:sSubPr>
                    <m:ctrlPr>
                      <w:rPr>
                        <w:rFonts w:ascii="Cambria Math" w:hAnsi="Cambria Math"/>
                        <w:i/>
                        <w:lang w:val="de-DE"/>
                      </w:rPr>
                    </m:ctrlPr>
                  </m:sSubPr>
                  <m:e>
                    <m:r>
                      <m:rPr>
                        <m:sty m:val="p"/>
                      </m:rPr>
                      <w:rPr>
                        <w:rFonts w:ascii="Cambria Math" w:hAnsi="Cambria Math"/>
                        <w:lang w:val="nl-NL"/>
                      </w:rPr>
                      <m:t>TM</m:t>
                    </m:r>
                  </m:e>
                  <m:sub>
                    <m:r>
                      <w:rPr>
                        <w:rFonts w:ascii="Cambria Math" w:hAnsi="Cambria Math"/>
                        <w:lang w:val="nl-NL"/>
                      </w:rPr>
                      <m:t>50</m:t>
                    </m:r>
                  </m:sub>
                </m:sSub>
                <m:r>
                  <w:rPr>
                    <w:rFonts w:ascii="Cambria Math" w:hAnsi="Cambria Math"/>
                    <w:vertAlign w:val="subscript"/>
                  </w:rPr>
                  <m:t>,x</m:t>
                </m:r>
              </m:e>
            </m:d>
            <m:r>
              <w:rPr>
                <w:rFonts w:ascii="Cambria Math" w:hAnsi="Cambria Math"/>
                <w:vertAlign w:val="subscript"/>
              </w:rPr>
              <m:t xml:space="preserve"> E </m:t>
            </m:r>
            <m:sSub>
              <m:sSubPr>
                <m:ctrlPr>
                  <w:rPr>
                    <w:rFonts w:ascii="Cambria Math" w:hAnsi="Cambria Math"/>
                    <w:i/>
                    <w:vertAlign w:val="subscript"/>
                  </w:rPr>
                </m:ctrlPr>
              </m:sSubPr>
              <m:e>
                <m:r>
                  <w:rPr>
                    <w:rFonts w:ascii="Cambria Math" w:hAnsi="Cambria Math"/>
                  </w:rPr>
                  <m:t>Φ</m:t>
                </m:r>
              </m:e>
              <m:sub>
                <m:r>
                  <m:rPr>
                    <m:sty m:val="p"/>
                  </m:rPr>
                  <w:rPr>
                    <w:rFonts w:ascii="Cambria Math" w:hAnsi="Cambria Math"/>
                    <w:vertAlign w:val="subscript"/>
                  </w:rPr>
                  <m:t>E</m:t>
                </m:r>
              </m:sub>
            </m:sSub>
            <m:r>
              <m:rPr>
                <m:sty m:val="p"/>
              </m:rPr>
              <w:rPr>
                <w:rFonts w:ascii="Cambria Math" w:hAnsi="Cambria Math"/>
                <w:vertAlign w:val="subscript"/>
              </w:rPr>
              <m:t>d</m:t>
            </m:r>
            <m:r>
              <w:rPr>
                <w:rFonts w:ascii="Cambria Math" w:hAnsi="Cambria Math"/>
                <w:vertAlign w:val="subscript"/>
              </w:rPr>
              <m:t>E</m:t>
            </m:r>
          </m:e>
        </m:nary>
      </m:oMath>
      <w:r w:rsidR="00D516E3">
        <w:t xml:space="preserve"> </w:t>
      </w:r>
      <w:r w:rsidR="00D516E3">
        <w:tab/>
      </w:r>
      <w:r w:rsidR="00D516E3">
        <w:tab/>
        <w:t xml:space="preserve">        (C.10)</w:t>
      </w:r>
    </w:p>
    <w:p w14:paraId="64832841" w14:textId="77777777" w:rsidR="00E72CA9" w:rsidRDefault="00E72CA9"/>
    <w:p w14:paraId="16AC2992" w14:textId="77777777" w:rsidR="00E72CA9" w:rsidRDefault="00D516E3">
      <w:pPr>
        <w:pStyle w:val="ICRPannexparagraph"/>
        <w:tabs>
          <w:tab w:val="clear" w:pos="1004"/>
          <w:tab w:val="num" w:pos="862"/>
        </w:tabs>
        <w:ind w:left="-142"/>
      </w:pPr>
      <w:r>
        <w:t>It should be noted that, if the blood content is added to the AM and TM</w:t>
      </w:r>
      <w:r>
        <w:rPr>
          <w:vertAlign w:val="subscript"/>
        </w:rPr>
        <w:t>50</w:t>
      </w:r>
      <w:r>
        <w:t xml:space="preserve">, its contribution to the dose calculation should be considered. However, its influence on the doses is too small and has been neglected for the calculations presented in this publication. </w:t>
      </w:r>
    </w:p>
    <w:p w14:paraId="65C3855A" w14:textId="77777777" w:rsidR="00E72CA9" w:rsidRDefault="00D516E3">
      <w:pPr>
        <w:pStyle w:val="ICRPannexparagraph"/>
        <w:tabs>
          <w:tab w:val="clear" w:pos="1004"/>
          <w:tab w:val="num" w:pos="862"/>
        </w:tabs>
        <w:ind w:left="-142"/>
      </w:pPr>
      <w:r>
        <w:t>If the electron range is in the range of the organ size or larger, the electron will quite likely escape the volume while other electrons will enter the volume; these electrons should, therefore, be transported and photon-only transport might or will no longer produce accurate results. This topic is, however, beyond the scope of this Annex, as it is not relevant for photon energy range of 10–150 keV, applicable to diagnostic x rays.</w:t>
      </w:r>
    </w:p>
    <w:p w14:paraId="18DFBA32" w14:textId="77777777" w:rsidR="00E72CA9" w:rsidRDefault="00D516E3">
      <w:pPr>
        <w:pStyle w:val="ICRPannexparagraph"/>
        <w:tabs>
          <w:tab w:val="clear" w:pos="1004"/>
          <w:tab w:val="num" w:pos="862"/>
        </w:tabs>
        <w:ind w:left="-142"/>
      </w:pPr>
      <w:r>
        <w:t xml:space="preserve"> Johnson et al. </w:t>
      </w:r>
      <w:r>
        <w:fldChar w:fldCharType="begin"/>
      </w:r>
      <w:r>
        <w:instrText xml:space="preserve"> ADDIN EN.CITE &lt;EndNote&gt;&lt;Cite ExcludeAuth="1"&gt;&lt;Author&gt;Johnson&lt;/Author&gt;&lt;Year&gt;2011&lt;/Year&gt;&lt;RecNum&gt;8932&lt;/RecNum&gt;&lt;DisplayText&gt;(2011)&lt;/DisplayText&gt;&lt;record&gt;&lt;rec-number&gt;8932&lt;/rec-number&gt;&lt;foreign-keys&gt;&lt;key app="EN" db-id="rss5s0wzrpx9pwe5a0h5a9wkx9sf2zexde9d" timestamp="0"&gt;8932&lt;/key&gt;&lt;/foreign-keys&gt;&lt;ref-type name="Journal Article"&gt;17&lt;/ref-type&gt;&lt;contributors&gt;&lt;authors&gt;&lt;author&gt;Johnson, Perry B. &lt;/author&gt;&lt;author&gt;Bahadori, Amir A. &lt;/author&gt;&lt;author&gt;Eckerman, Keith F. &lt;/author&gt;&lt;author&gt;Lee, Choonsik &lt;/author&gt;&lt;author&gt;Bolch, Wesley E. &lt;/author&gt;&lt;/authors&gt;&lt;/contributors&gt;&lt;titles&gt;&lt;title&gt;&lt;style face="normal" font="default" size="100%"&gt;Response functions for computing absorbed dose to skeletal tissues from photon irradiation &lt;/style&gt;&lt;style face="normal" font="Symbol" charset="2" size="100%"&gt;-&lt;/style&gt;&lt;style face="normal" font="default" size="100%"&gt; an update&lt;/style&gt;&lt;/title&gt;&lt;secondary-title&gt;Physics in Medicine and Biology&lt;/secondary-title&gt;&lt;/titles&gt;&lt;pages&gt;2347–2365&lt;/pages&gt;&lt;volume&gt;56&lt;/volume&gt;&lt;number&gt;8&lt;/number&gt;&lt;dates&gt;&lt;year&gt;2011&lt;/year&gt;&lt;/dates&gt;&lt;isbn&gt;0031-9155&lt;/isbn&gt;&lt;urls&gt;&lt;related-urls&gt;&lt;url&gt;http://stacks.iop.org/0031-9155/56/i=8/a=002 &lt;/url&gt;&lt;/related-urls&gt;&lt;/urls&gt;&lt;/record&gt;&lt;/Cite&gt;&lt;/EndNote&gt;</w:instrText>
      </w:r>
      <w:r>
        <w:fldChar w:fldCharType="separate"/>
      </w:r>
      <w:r>
        <w:t>(2011)</w:t>
      </w:r>
      <w:r>
        <w:fldChar w:fldCharType="end"/>
      </w:r>
      <w:r>
        <w:t xml:space="preserve"> have derived fluence-to-dose response functions and consequently dose enhancement factors by Monte Carlo calculations of photon and electron transport in 3D micro-CT images of various bone compartments. The results are dependent on the bone compartment and tallies per bone compartment have to be implemented in the code. In this way, active and shallow marrow dose in a bone compartment can be obtained.</w:t>
      </w:r>
    </w:p>
    <w:p w14:paraId="59F6C43D" w14:textId="77777777" w:rsidR="00E72CA9" w:rsidRDefault="00D516E3">
      <w:pPr>
        <w:pStyle w:val="ICRPannexparagraph"/>
        <w:tabs>
          <w:tab w:val="clear" w:pos="1004"/>
          <w:tab w:val="num" w:pos="862"/>
        </w:tabs>
        <w:ind w:left="-142"/>
      </w:pPr>
      <w:r>
        <w:t xml:space="preserve">To derive the total active marrow and shallow marrow or endosteum doses for an anthropomorphic phantom, the bone compartment doses are summed as weight fractions of the active marrow or endosteum cells, using, in case of the adult reference phantoms, the weight fractions of Table 4.2, ICRP </w:t>
      </w:r>
      <w:r>
        <w:rPr>
          <w:i/>
        </w:rPr>
        <w:t>Publication 110</w:t>
      </w:r>
      <w:r>
        <w:t xml:space="preserve"> </w:t>
      </w:r>
      <w:r>
        <w:fldChar w:fldCharType="begin"/>
      </w:r>
      <w:r>
        <w:instrText xml:space="preserve"> ADDIN EN.CITE &lt;EndNote&gt;&lt;Cite&gt;&lt;Author&gt;ICRP&lt;/Author&gt;&lt;Year&gt;2009&lt;/Year&gt;&lt;RecNum&gt;11771&lt;/RecNum&gt;&lt;DisplayText&gt;(ICRP, 2009b)&lt;/DisplayText&gt;&lt;record&gt;&lt;rec-number&gt;11771&lt;/rec-number&gt;&lt;foreign-keys&gt;&lt;key app="EN" db-id="rss5s0wzrpx9pwe5a0h5a9wkx9sf2zexde9d" timestamp="1612861899"&gt;11771&lt;/key&gt;&lt;/foreign-keys&gt;&lt;ref-type name="Journal Article"&gt;17&lt;/ref-type&gt;&lt;contributors&gt;&lt;authors&gt;&lt;author&gt;ICRP,&lt;/author&gt;&lt;/authors&gt;&lt;tertiary-authors&gt;&lt;author&gt;Elsevier&lt;/author&gt;&lt;/tertiary-authors&gt;&lt;/contributors&gt;&lt;titles&gt;&lt;title&gt;Adult reference computational phantoms. ICRP Publication 110&lt;/title&gt;&lt;secondary-title&gt;Annals of the ICRP&lt;/secondary-title&gt;&lt;/titles&gt;&lt;periodical&gt;&lt;full-title&gt;Annals of the ICRP&lt;/full-title&gt;&lt;abbr-1&gt;Ann. ICRP&lt;/abbr-1&gt;&lt;abbr-2&gt;Ann ICRP&lt;/abbr-2&gt;&lt;/periodical&gt;&lt;volume&gt;39&lt;/volume&gt;&lt;number&gt;2&lt;/number&gt;&lt;dates&gt;&lt;year&gt;2009&lt;/year&gt;&lt;/dates&gt;&lt;pub-location&gt;Oxford, UK&lt;/pub-location&gt;&lt;publisher&gt;International Commission on Radiological Protection&lt;/publisher&gt;&lt;orig-pub&gt;Ann. ICRP 39(2)&lt;/orig-pub&gt;&lt;isbn&gt;ICRP Publication 110&lt;/isbn&gt;&lt;work-type&gt;ICRP Publication&lt;/work-type&gt;&lt;urls&gt;&lt;/urls&gt;&lt;/record&gt;&lt;/Cite&gt;&lt;/EndNote&gt;</w:instrText>
      </w:r>
      <w:r>
        <w:fldChar w:fldCharType="separate"/>
      </w:r>
      <w:r>
        <w:rPr>
          <w:noProof/>
        </w:rPr>
        <w:t>(ICRP, 2009b)</w:t>
      </w:r>
      <w:r>
        <w:fldChar w:fldCharType="end"/>
      </w:r>
      <w:r>
        <w:t xml:space="preserve">, or Table 3.2 of ICRP </w:t>
      </w:r>
      <w:r>
        <w:rPr>
          <w:i/>
        </w:rPr>
        <w:t xml:space="preserve">Publication 116 </w:t>
      </w:r>
      <w:r>
        <w:fldChar w:fldCharType="begin"/>
      </w:r>
      <w:r>
        <w:instrText xml:space="preserve"> ADDIN EN.CITE &lt;EndNote&gt;&lt;Cite&gt;&lt;Author&gt;ICRP&lt;/Author&gt;&lt;Year&gt;2010&lt;/Year&gt;&lt;RecNum&gt;11772&lt;/RecNum&gt;&lt;DisplayText&gt;(ICRP, 2010)&lt;/DisplayText&gt;&lt;record&gt;&lt;rec-number&gt;11772&lt;/rec-number&gt;&lt;foreign-keys&gt;&lt;key app="EN" db-id="rss5s0wzrpx9pwe5a0h5a9wkx9sf2zexde9d" timestamp="1612861899"&gt;11772&lt;/key&gt;&lt;/foreign-keys&gt;&lt;ref-type name="Journal Article"&gt;17&lt;/ref-type&gt;&lt;contributors&gt;&lt;authors&gt;&lt;author&gt;ICRP,&lt;/author&gt;&lt;/authors&gt;&lt;tertiary-authors&gt;&lt;author&gt;Elsevier&lt;/author&gt;&lt;/tertiary-authors&gt;&lt;/contributors&gt;&lt;titles&gt;&lt;title&gt;Conversion Coefficients for Radiological Protection Quantities for External Radiation Exposures. ICRP Publication 116&lt;/title&gt;&lt;secondary-title&gt;Annals of the ICRP&lt;/secondary-title&gt;&lt;/titles&gt;&lt;periodical&gt;&lt;full-title&gt;Annals of the ICRP&lt;/full-title&gt;&lt;abbr-1&gt;Ann. ICRP&lt;/abbr-1&gt;&lt;abbr-2&gt;Ann ICRP&lt;/abbr-2&gt;&lt;/periodical&gt;&lt;volume&gt;40&lt;/volume&gt;&lt;number&gt;2-5&lt;/number&gt;&lt;dates&gt;&lt;year&gt;2010&lt;/year&gt;&lt;/dates&gt;&lt;pub-location&gt;Oxford, UK&lt;/pub-location&gt;&lt;publisher&gt;International Commission of Radiological Protection&lt;/publisher&gt;&lt;orig-pub&gt;Ann. ICRP 40(2-5)&lt;/orig-pub&gt;&lt;isbn&gt;116&lt;/isbn&gt;&lt;work-type&gt;ICRP Publication&lt;/work-type&gt;&lt;urls&gt;&lt;/urls&gt;&lt;/record&gt;&lt;/Cite&gt;&lt;/EndNote&gt;</w:instrText>
      </w:r>
      <w:r>
        <w:fldChar w:fldCharType="separate"/>
      </w:r>
      <w:r>
        <w:t>(ICRP, 2010)</w:t>
      </w:r>
      <w:r>
        <w:fldChar w:fldCharType="end"/>
      </w:r>
      <w:r>
        <w:t xml:space="preserve"> and for the paediatric reference phantoms, Tables 3.3 to 3.8, of ICRP </w:t>
      </w:r>
      <w:r>
        <w:rPr>
          <w:i/>
        </w:rPr>
        <w:t>Publication 143</w:t>
      </w:r>
      <w:r>
        <w:t xml:space="preserve"> (ICRP, 2020). </w:t>
      </w:r>
    </w:p>
    <w:p w14:paraId="6AD33B37" w14:textId="77777777" w:rsidR="00E72CA9" w:rsidRDefault="00D516E3">
      <w:pPr>
        <w:pStyle w:val="ICRPannexheading2"/>
        <w:tabs>
          <w:tab w:val="clear" w:pos="851"/>
          <w:tab w:val="left" w:pos="567"/>
        </w:tabs>
        <w:ind w:left="567" w:hanging="567"/>
        <w:outlineLvl w:val="1"/>
      </w:pPr>
      <w:bookmarkStart w:id="221" w:name="_Toc158293677"/>
      <w:bookmarkStart w:id="222" w:name="_Toc165302067"/>
      <w:r>
        <w:lastRenderedPageBreak/>
        <w:t xml:space="preserve">Refinements of the original </w:t>
      </w:r>
      <w:r>
        <w:rPr>
          <w:iCs/>
        </w:rPr>
        <w:t>fluence-to-dose response function</w:t>
      </w:r>
      <w:r>
        <w:t xml:space="preserve"> sets for both adult and paediatric reference phantoms</w:t>
      </w:r>
      <w:bookmarkEnd w:id="221"/>
      <w:bookmarkEnd w:id="222"/>
    </w:p>
    <w:p w14:paraId="44938BC4" w14:textId="77777777" w:rsidR="00E72CA9" w:rsidRDefault="00D516E3">
      <w:pPr>
        <w:pStyle w:val="ICRPannexparagraph"/>
        <w:tabs>
          <w:tab w:val="clear" w:pos="646"/>
          <w:tab w:val="clear" w:pos="1004"/>
          <w:tab w:val="num" w:pos="709"/>
          <w:tab w:val="left" w:pos="993"/>
        </w:tabs>
        <w:ind w:left="0"/>
      </w:pPr>
      <w:r>
        <w:t xml:space="preserve">This section describes the refinements of the DRF and DEF for adults which appear in ICRP </w:t>
      </w:r>
      <w:r>
        <w:rPr>
          <w:i/>
        </w:rPr>
        <w:t>Publication 116</w:t>
      </w:r>
      <w:r>
        <w:t xml:space="preserve"> </w:t>
      </w:r>
      <w:r>
        <w:fldChar w:fldCharType="begin">
          <w:fldData xml:space="preserve">PEVuZE5vdGU+PENpdGU+PEF1dGhvcj5JQ1JQPC9BdXRob3I+PFllYXI+MjAxMDwvWWVhcj48UmVj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</w:fldData>
        </w:fldChar>
      </w:r>
      <w:r>
        <w:instrText xml:space="preserve"> ADDIN EN.CITE </w:instrText>
      </w:r>
      <w:r>
        <w:fldChar w:fldCharType="begin">
          <w:fldData xml:space="preserve">PEVuZE5vdGU+PENpdGU+PEF1dGhvcj5JQ1JQPC9BdXRob3I+PFllYXI+MjAxMDwvWWVhcj48UmVj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</w:fldData>
        </w:fldChar>
      </w:r>
      <w:r>
        <w:instrText xml:space="preserve"> ADDIN EN.CITE.DATA </w:instrText>
      </w:r>
      <w:r>
        <w:fldChar w:fldCharType="end"/>
      </w:r>
      <w:r>
        <w:fldChar w:fldCharType="separate"/>
      </w:r>
      <w:r>
        <w:rPr>
          <w:noProof/>
        </w:rPr>
        <w:t>(ICRP, 2010; Johnson et al., 2011)</w:t>
      </w:r>
      <w:r>
        <w:fldChar w:fldCharType="end"/>
      </w:r>
      <w:r>
        <w:t>. It has been observed that the DRF and DEF for the same bone and photon energy are not compatible in all cases. For a very limited number of cases at very low photon energies, some values of DRF indicate erroneously a negative dose enhancement, i.e. a dose reduction. To correct this, these DEF values are set to 1.0, assuming secondary electron equilibrium. This correction has also been applied to recalculate the active and inactive marrow kerma coefficients appearing at Table 5 of Johnson et al. (2011). Thus, the use of either the DRF or DEF method would result to the same values of AM and TM</w:t>
      </w:r>
      <w:r>
        <w:rPr>
          <w:vertAlign w:val="subscript"/>
        </w:rPr>
        <w:t>50</w:t>
      </w:r>
      <w:r>
        <w:t xml:space="preserve"> doses. </w:t>
      </w:r>
    </w:p>
    <w:p w14:paraId="6B65AF7F" w14:textId="77777777" w:rsidR="00E72CA9" w:rsidRDefault="00D516E3">
      <w:pPr>
        <w:pStyle w:val="ICRPannexparagraph"/>
        <w:tabs>
          <w:tab w:val="clear" w:pos="646"/>
          <w:tab w:val="clear" w:pos="1004"/>
          <w:tab w:val="left" w:pos="0"/>
          <w:tab w:val="num" w:pos="862"/>
          <w:tab w:val="left" w:pos="993"/>
        </w:tabs>
        <w:ind w:left="0"/>
      </w:pPr>
      <w:r>
        <w:t xml:space="preserve">Since the elementary composition of active and inactive marrow is age-independent and consequently the respective kerma coefficients are also age-independent, a similar correction for negative values of dose enhancements could also be applied to the paediatric DRF of Wayson et al. </w:t>
      </w:r>
      <w:r>
        <w:fldChar w:fldCharType="begin"/>
      </w:r>
      <w:r>
        <w:instrText xml:space="preserve"> ADDIN EN.CITE &lt;EndNote&gt;&lt;Cite ExcludeAuth="1"&gt;&lt;Author&gt;Wayson&lt;/Author&gt;&lt;Year&gt;2012&lt;/Year&gt;&lt;RecNum&gt;9067&lt;/RecNum&gt;&lt;DisplayText&gt;(2012)&lt;/DisplayText&gt;&lt;record&gt;&lt;rec-number&gt;9067&lt;/rec-number&gt;&lt;foreign-keys&gt;&lt;key app="EN" db-id="rss5s0wzrpx9pwe5a0h5a9wkx9sf2zexde9d" timestamp="0"&gt;9067&lt;/key&gt;&lt;/foreign-keys&gt;&lt;ref-type name="Journal Article"&gt;17&lt;/ref-type&gt;&lt;contributors&gt;&lt;authors&gt;&lt;author&gt;Wayson, M B&lt;/author&gt;&lt;author&gt;Lee, Choonsik&lt;/author&gt;&lt;author&gt;Sgouros, George&lt;/author&gt;&lt;author&gt;Treves, S. Ted&lt;/author&gt;&lt;author&gt;Frey, Eric&lt;/author&gt;&lt;author&gt;Bolch, Wesley E. &lt;/author&gt;&lt;/authors&gt;&lt;/contributors&gt;&lt;titles&gt;&lt;title&gt;&lt;style face="normal" font="default" size="100%"&gt;Internal photon and electron dosimetry of the newborn patient &lt;/style&gt;&lt;style face="normal" font="Symbol" charset="2" size="100%"&gt;-&lt;/style&gt;&lt;style face="normal" font="default" size="100%"&gt; a hybrid computational phantom study&lt;/style&gt;&lt;/title&gt;&lt;secondary-title&gt;Physics in Medicine and Biology&lt;/secondary-title&gt;&lt;/titles&gt;&lt;pages&gt;1433-1457&lt;/pages&gt;&lt;volume&gt;57&lt;/volume&gt;&lt;number&gt;5&lt;/number&gt;&lt;dates&gt;&lt;year&gt;2012&lt;/year&gt;&lt;/dates&gt;&lt;isbn&gt;0031-9155&lt;/isbn&gt;&lt;urls&gt;&lt;related-urls&gt;&lt;url&gt;http://stacks.iop.org/0031-9155/57/i=5/a=1433 &lt;/url&gt;&lt;/related-urls&gt;&lt;/urls&gt;&lt;/record&gt;&lt;/Cite&gt;&lt;/EndNote&gt;</w:instrText>
      </w:r>
      <w:r>
        <w:fldChar w:fldCharType="separate"/>
      </w:r>
      <w:r>
        <w:rPr>
          <w:noProof/>
        </w:rPr>
        <w:t>(2012)</w:t>
      </w:r>
      <w:r>
        <w:fldChar w:fldCharType="end"/>
      </w:r>
      <w:r>
        <w:t xml:space="preserve">. The revised set of DRF for all phantoms/ages can be found at the electronic supplement of ICRP </w:t>
      </w:r>
      <w:r>
        <w:rPr>
          <w:i/>
        </w:rPr>
        <w:t>Publication</w:t>
      </w:r>
      <w:r>
        <w:t xml:space="preserve"> </w:t>
      </w:r>
      <w:r>
        <w:rPr>
          <w:i/>
        </w:rPr>
        <w:t>155</w:t>
      </w:r>
      <w:r>
        <w:t xml:space="preserve"> </w:t>
      </w:r>
      <w:r>
        <w:fldChar w:fldCharType="begin"/>
      </w:r>
      <w:r>
        <w:instrText xml:space="preserve"> ADDIN EN.CITE &lt;EndNote&gt;&lt;Cite&gt;&lt;Author&gt;ICRP&lt;/Author&gt;&lt;Year&gt;2024&lt;/Year&gt;&lt;RecNum&gt;12496&lt;/RecNum&gt;&lt;DisplayText&gt;(ICRP, 2024b)&lt;/DisplayText&gt;&lt;record&gt;&lt;rec-number&gt;12496&lt;/rec-number&gt;&lt;foreign-keys&gt;&lt;key app="EN" db-id="rss5s0wzrpx9pwe5a0h5a9wkx9sf2zexde9d" timestamp="1706192152"&gt;12496&lt;/key&gt;&lt;/foreign-keys&gt;&lt;ref-type name="Journal Article"&gt;17&lt;/ref-type&gt;&lt;contributors&gt;&lt;authors&gt;&lt;author&gt;ICRP&lt;/author&gt;&lt;/authors&gt;&lt;/contributors&gt;&lt;titles&gt;&lt;title&gt;Specific Absorbed Fractions for Paediatric Individuals. ICRP Publication 155.&lt;/title&gt;&lt;secondary-title&gt;Annals of the ICRP&lt;/secondary-title&gt;&lt;/titles&gt;&lt;periodical&gt;&lt;full-title&gt;Annals of the ICRP&lt;/full-title&gt;&lt;abbr-1&gt;Ann. ICRP&lt;/abbr-1&gt;&lt;abbr-2&gt;Ann ICRP&lt;/abbr-2&gt;&lt;/periodical&gt;&lt;volume&gt;xx&lt;/volume&gt;&lt;dates&gt;&lt;year&gt;2024&lt;/year&gt;&lt;/dates&gt;&lt;urls&gt;&lt;/urls&gt;&lt;/record&gt;&lt;/Cite&gt;&lt;/EndNote&gt;</w:instrText>
      </w:r>
      <w:r>
        <w:fldChar w:fldCharType="separate"/>
      </w:r>
      <w:r>
        <w:rPr>
          <w:noProof/>
        </w:rPr>
        <w:t>(ICRP, 2024b)</w:t>
      </w:r>
      <w:r>
        <w:fldChar w:fldCharType="end"/>
      </w:r>
      <w:r>
        <w:t xml:space="preserve">. </w:t>
      </w:r>
    </w:p>
    <w:p w14:paraId="370A9E69" w14:textId="77777777" w:rsidR="00E72CA9" w:rsidRDefault="00D516E3">
      <w:pPr>
        <w:pStyle w:val="ICRPannexheading2"/>
        <w:tabs>
          <w:tab w:val="clear" w:pos="851"/>
          <w:tab w:val="left" w:pos="567"/>
        </w:tabs>
        <w:ind w:left="567" w:hanging="567"/>
        <w:outlineLvl w:val="1"/>
      </w:pPr>
      <w:bookmarkStart w:id="223" w:name="_Toc158293678"/>
      <w:bookmarkStart w:id="224" w:name="_Toc165302068"/>
      <w:r>
        <w:t xml:space="preserve">Implementation of </w:t>
      </w:r>
      <w:r>
        <w:rPr>
          <w:iCs/>
        </w:rPr>
        <w:t>fluence-to-dose response functions</w:t>
      </w:r>
      <w:r>
        <w:t xml:space="preserve"> and dose enhancement factors to some Monte Carlo</w:t>
      </w:r>
      <w:r>
        <w:rPr>
          <w:u w:val="single"/>
        </w:rPr>
        <w:t xml:space="preserve"> </w:t>
      </w:r>
      <w:r>
        <w:t>codes used in medical physics</w:t>
      </w:r>
      <w:bookmarkEnd w:id="223"/>
      <w:bookmarkEnd w:id="224"/>
      <w:r>
        <w:t xml:space="preserve"> </w:t>
      </w:r>
    </w:p>
    <w:p w14:paraId="2D6C04FA" w14:textId="77777777" w:rsidR="00E72CA9" w:rsidRDefault="00D516E3">
      <w:pPr>
        <w:pStyle w:val="ICRPannexparagraph"/>
        <w:tabs>
          <w:tab w:val="clear" w:pos="1004"/>
          <w:tab w:val="num" w:pos="993"/>
        </w:tabs>
        <w:ind w:left="0"/>
      </w:pPr>
      <w:r>
        <w:t xml:space="preserve">The next subsections describe examples of the implementation of DRF and DEF into the Monte Carlo radiation transport code systems used for the calculation of the radiographic dose coefficients presented in this work, i.e. GEANT4 (Geometry and Tracking, version 4) and EGSnrc (Electron Gamma Shower National Research Council of Canada) and EGSnrc (Electron Gamma Shower National Research Council of Canada). They also describe the implementation in MCNP (Monte Carlo N-Particle Transport Code), which was employed by a further work of ICRP Task Group 113 for the calculations of dose coefficients for computed tomography (ICRP Publication, in preparation). This section is aimed to help potential users for their implementation and employs code-specific terms which are not explained here but are well known to the Monte Carlo code users, to whom this section is addressed. Some further practical guidance and technical hints for incorporating the DRF and DEF into various types of radiation transport codes can be found at Zankl et al.  </w:t>
      </w:r>
      <w:r>
        <w:fldChar w:fldCharType="begin"/>
      </w:r>
      <w:r>
        <w:instrText xml:space="preserve"> ADDIN EN.CITE &lt;EndNote&gt;&lt;Cite ExcludeAuth="1"&gt;&lt;Author&gt;Zankl&lt;/Author&gt;&lt;Year&gt;2021&lt;/Year&gt;&lt;RecNum&gt;11934&lt;/RecNum&gt;&lt;DisplayText&gt;(2021)&lt;/DisplayText&gt;&lt;record&gt;&lt;rec-number&gt;11934&lt;/rec-number&gt;&lt;foreign-keys&gt;&lt;key app="EN" db-id="rss5s0wzrpx9pwe5a0h5a9wkx9sf2zexde9d" timestamp="1625646181"&gt;11934&lt;/key&gt;&lt;/foreign-keys&gt;&lt;ref-type name="Journal Article"&gt;17&lt;/ref-type&gt;&lt;contributors&gt;&lt;authors&gt;&lt;author&gt;Zankl, Maria&lt;/author&gt;&lt;author&gt;Eakins, Jonathan&lt;/author&gt;&lt;author&gt;Gómez Ros, José-María&lt;/author&gt;&lt;author&gt;Huet, Christelle&lt;/author&gt;&lt;/authors&gt;&lt;/contributors&gt;&lt;titles&gt;&lt;title&gt;The ICRP recommended methods of red bone marrow dosimetry&lt;/title&gt;&lt;secondary-title&gt;Radiation Measurements&lt;/secondary-title&gt;&lt;/titles&gt;&lt;periodical&gt;&lt;full-title&gt;Radiation Measurements&lt;/full-title&gt;&lt;abbr-1&gt;Radiat. Meas.&lt;/abbr-1&gt;&lt;abbr-2&gt;Radiat Meas&lt;/abbr-2&gt;&lt;/periodical&gt;&lt;pages&gt;106611&lt;/pages&gt;&lt;volume&gt;146&lt;/volume&gt;&lt;keywords&gt;&lt;keyword&gt;Bone dosimetry&lt;/keyword&gt;&lt;keyword&gt;Red bone marrow&lt;/keyword&gt;&lt;keyword&gt;Active marrow&lt;/keyword&gt;&lt;keyword&gt;Endosteum&lt;/keyword&gt;&lt;keyword&gt;Dose response functions&lt;/keyword&gt;&lt;keyword&gt;Dose enhancement factors&lt;/keyword&gt;&lt;keyword&gt;Reference computational phantoms&lt;/keyword&gt;&lt;keyword&gt;EURADOS intercomparison Exercise&lt;/keyword&gt;&lt;/keywords&gt;&lt;dates&gt;&lt;year&gt;2021&lt;/year&gt;&lt;/dates&gt;&lt;urls&gt;&lt;related-urls&gt;&lt;url&gt;https://www.sciencedirect.com/science/article/pii/S1350448721001256&lt;/url&gt;&lt;/related-urls&gt;&lt;/urls&gt;&lt;/record&gt;&lt;/Cite&gt;&lt;/EndNote&gt;</w:instrText>
      </w:r>
      <w:r>
        <w:fldChar w:fldCharType="separate"/>
      </w:r>
      <w:r>
        <w:rPr>
          <w:noProof/>
        </w:rPr>
        <w:t>(2021)</w:t>
      </w:r>
      <w:r>
        <w:fldChar w:fldCharType="end"/>
      </w:r>
      <w:r>
        <w:t xml:space="preserve">.   </w:t>
      </w:r>
    </w:p>
    <w:p w14:paraId="2407B4B4" w14:textId="77777777" w:rsidR="00E72CA9" w:rsidRDefault="00D516E3">
      <w:pPr>
        <w:pStyle w:val="ICRPannexheading3"/>
        <w:ind w:left="720"/>
      </w:pPr>
      <w:r>
        <w:t>MCNP</w:t>
      </w:r>
    </w:p>
    <w:p w14:paraId="56AC149D" w14:textId="77777777" w:rsidR="00E72CA9" w:rsidRDefault="00D516E3">
      <w:pPr>
        <w:pStyle w:val="ICRPannexparagraph"/>
        <w:tabs>
          <w:tab w:val="clear" w:pos="1004"/>
          <w:tab w:val="num" w:pos="993"/>
        </w:tabs>
        <w:ind w:left="0"/>
      </w:pPr>
      <w:r>
        <w:t xml:space="preserve">MCNP transporting only photons (MODE P), without electron transport, enables the user to calculate the dose in a volume with a track length estimator </w:t>
      </w:r>
      <w:r>
        <w:fldChar w:fldCharType="begin">
          <w:fldData xml:space="preserve">PEVuZE5vdGU+PENpdGU+PEF1dGhvcj5XZXJuZXI8L0F1dGhvcj48WWVhcj4yMDE3PC9ZZWFyPjxS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</w:fldData>
        </w:fldChar>
      </w:r>
      <w:r>
        <w:instrText xml:space="preserve"> ADDIN EN.CITE </w:instrText>
      </w:r>
      <w:r>
        <w:fldChar w:fldCharType="begin">
          <w:fldData xml:space="preserve">PEVuZE5vdGU+PENpdGU+PEF1dGhvcj5XZXJuZXI8L0F1dGhvcj48WWVhcj4yMDE3PC9ZZWFyPjxS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</w:fldData>
        </w:fldChar>
      </w:r>
      <w:r>
        <w:instrText xml:space="preserve"> ADDIN EN.CITE.DATA </w:instrText>
      </w:r>
      <w:r>
        <w:fldChar w:fldCharType="end"/>
      </w:r>
      <w:r>
        <w:fldChar w:fldCharType="separate"/>
      </w:r>
      <w:r>
        <w:rPr>
          <w:noProof/>
        </w:rPr>
        <w:t>(Werner et al., 2017; Werner et al., 2018)</w:t>
      </w:r>
      <w:r>
        <w:fldChar w:fldCharType="end"/>
      </w:r>
      <w:r>
        <w:t xml:space="preserve"> , by using tally 6 and the identification (ID) number characterising this volume or cell. If the range of the secondary electron is much smaller than the smallest volume dimension, </w:t>
      </w:r>
      <w:bookmarkStart w:id="225" w:name="_Hlk165532476"/>
      <w:r>
        <w:t>this will give an accurate estimate</w:t>
      </w:r>
      <w:bookmarkEnd w:id="225"/>
      <w:r>
        <w:t>:</w:t>
      </w:r>
    </w:p>
    <w:p w14:paraId="229F9FDB" w14:textId="77777777" w:rsidR="00E72CA9" w:rsidRDefault="00E72CA9">
      <w:pPr>
        <w:pStyle w:val="ICRPannexparagraph"/>
        <w:numPr>
          <w:ilvl w:val="0"/>
          <w:numId w:val="0"/>
        </w:numPr>
        <w:ind w:left="142"/>
      </w:pPr>
    </w:p>
    <w:p w14:paraId="60C45FB6" w14:textId="77777777" w:rsidR="00E72CA9" w:rsidRDefault="00D516E3">
      <w:pPr>
        <w:pStyle w:val="ICRPannexparagraph"/>
        <w:numPr>
          <w:ilvl w:val="0"/>
          <w:numId w:val="0"/>
        </w:numPr>
        <w:ind w:firstLine="142"/>
        <w:rPr>
          <w:rFonts w:ascii="Courier New" w:hAnsi="Courier New" w:cs="Courier New"/>
          <w:sz w:val="22"/>
        </w:rPr>
      </w:pPr>
      <w:r>
        <w:rPr>
          <w:rFonts w:ascii="Courier New" w:hAnsi="Courier New" w:cs="Courier New"/>
          <w:sz w:val="22"/>
        </w:rPr>
        <w:t xml:space="preserve">F6:P </w:t>
      </w:r>
      <w:proofErr w:type="spellStart"/>
      <w:r>
        <w:rPr>
          <w:rFonts w:ascii="Courier New" w:hAnsi="Courier New" w:cs="Courier New"/>
          <w:sz w:val="22"/>
        </w:rPr>
        <w:t>ID</w:t>
      </w:r>
      <w:r>
        <w:rPr>
          <w:rFonts w:ascii="Courier New" w:hAnsi="Courier New" w:cs="Courier New"/>
          <w:sz w:val="22"/>
          <w:vertAlign w:val="subscript"/>
        </w:rPr>
        <w:t>volume</w:t>
      </w:r>
      <w:proofErr w:type="spellEnd"/>
      <w:r>
        <w:rPr>
          <w:rFonts w:ascii="Courier New" w:hAnsi="Courier New" w:cs="Courier New"/>
          <w:sz w:val="22"/>
        </w:rPr>
        <w:t xml:space="preserve"> </w:t>
      </w:r>
    </w:p>
    <w:p w14:paraId="6898AA12" w14:textId="77777777" w:rsidR="00E72CA9" w:rsidRDefault="00D516E3">
      <w:pPr>
        <w:pStyle w:val="ICRPannexparagraph"/>
        <w:tabs>
          <w:tab w:val="clear" w:pos="646"/>
          <w:tab w:val="clear" w:pos="1004"/>
          <w:tab w:val="num" w:pos="862"/>
          <w:tab w:val="left" w:pos="993"/>
        </w:tabs>
        <w:ind w:left="0"/>
      </w:pPr>
      <w:r>
        <w:t xml:space="preserve">The MCNP output will then give the absorbed dose in volume </w:t>
      </w:r>
      <w:proofErr w:type="spellStart"/>
      <w:r>
        <w:t>ID</w:t>
      </w:r>
      <w:r>
        <w:rPr>
          <w:vertAlign w:val="subscript"/>
        </w:rPr>
        <w:t>volume</w:t>
      </w:r>
      <w:proofErr w:type="spellEnd"/>
      <w:r>
        <w:t xml:space="preserve"> in units of MeV g</w:t>
      </w:r>
      <w:r>
        <w:rPr>
          <w:vertAlign w:val="superscript"/>
        </w:rPr>
        <w:t>−1</w:t>
      </w:r>
      <w:r>
        <w:t xml:space="preserve"> or, if multiplied with 1.602×10</w:t>
      </w:r>
      <w:r>
        <w:rPr>
          <w:vertAlign w:val="superscript"/>
        </w:rPr>
        <w:t>−10</w:t>
      </w:r>
      <w:r>
        <w:t>, in SI units of Gy or J kg</w:t>
      </w:r>
      <w:r>
        <w:rPr>
          <w:vertAlign w:val="superscript"/>
        </w:rPr>
        <w:t>−1</w:t>
      </w:r>
      <w:r>
        <w:t xml:space="preserve">. The F6 card denotes that the track length estimator tally is used for absorbed dose averaged over a cell or volume with ID number, </w:t>
      </w:r>
      <w:proofErr w:type="spellStart"/>
      <w:r>
        <w:t>ID</w:t>
      </w:r>
      <w:r>
        <w:rPr>
          <w:vertAlign w:val="subscript"/>
        </w:rPr>
        <w:t>volume</w:t>
      </w:r>
      <w:proofErr w:type="spellEnd"/>
      <w:r>
        <w:t>.</w:t>
      </w:r>
    </w:p>
    <w:p w14:paraId="43C17664" w14:textId="77777777" w:rsidR="00E72CA9" w:rsidRDefault="00D516E3">
      <w:pPr>
        <w:pStyle w:val="ICRPannexparagraph"/>
        <w:tabs>
          <w:tab w:val="clear" w:pos="646"/>
          <w:tab w:val="clear" w:pos="1004"/>
          <w:tab w:val="num" w:pos="862"/>
          <w:tab w:val="left" w:pos="993"/>
        </w:tabs>
        <w:ind w:left="0"/>
      </w:pPr>
      <w:r>
        <w:lastRenderedPageBreak/>
        <w:t xml:space="preserve">Most Monte Carlo radiation transport codes offer convenient ways for calculating, for instance, the air dose in a cell that contains </w:t>
      </w:r>
      <w:r>
        <w:rPr>
          <w:color w:val="000000" w:themeColor="text1"/>
        </w:rPr>
        <w:t>Polymethyl methacrylate</w:t>
      </w:r>
      <w:r>
        <w:t xml:space="preserve"> (PMMA) or water, as it is a situation that is quite common. This means that the Monte Carlo radiation transport code allows to transport radiation particles through a medium (material) X and multiplying the track length at every step with the fluence-response function for a desired dose quantity in medium Y. For MCNP, tally 4, which is a track length estimator tally like F6 but without the default dose multipliers, is employed to derive a photon fluence that can be used to calculate the active marrow dose with the ‘FM’ card (i.e. a tally multiplier) as outlined in MCNP6.2 user Manual</w:t>
      </w:r>
    </w:p>
    <w:p w14:paraId="6FE7ABD9" w14:textId="77777777" w:rsidR="00E72CA9" w:rsidRDefault="00D516E3">
      <w:pPr>
        <w:pStyle w:val="ICRPannexparagraph"/>
        <w:numPr>
          <w:ilvl w:val="0"/>
          <w:numId w:val="0"/>
        </w:numPr>
        <w:tabs>
          <w:tab w:val="clear" w:pos="646"/>
          <w:tab w:val="left" w:pos="993"/>
        </w:tabs>
        <w:spacing w:after="240"/>
      </w:pPr>
      <w:r>
        <w:fldChar w:fldCharType="begin">
          <w:fldData xml:space="preserve">PEVuZE5vdGU+PENpdGU+PEF1dGhvcj5XZXJuZXI8L0F1dGhvcj48WWVhcj4yMDE3PC9ZZWFyPjxS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</w:fldData>
        </w:fldChar>
      </w:r>
      <w:r>
        <w:instrText xml:space="preserve"> ADDIN EN.CITE </w:instrText>
      </w:r>
      <w:r>
        <w:fldChar w:fldCharType="begin">
          <w:fldData xml:space="preserve">PEVuZE5vdGU+PENpdGU+PEF1dGhvcj5XZXJuZXI8L0F1dGhvcj48WWVhcj4yMDE3PC9ZZWFyPjxS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</w:fldData>
        </w:fldChar>
      </w:r>
      <w:r>
        <w:instrText xml:space="preserve"> ADDIN EN.CITE.DATA </w:instrText>
      </w:r>
      <w:r>
        <w:fldChar w:fldCharType="end"/>
      </w:r>
      <w:r>
        <w:fldChar w:fldCharType="separate"/>
      </w:r>
      <w:r>
        <w:rPr>
          <w:noProof/>
        </w:rPr>
        <w:t>(Werner et al., 2017; Werner and al, 2018)</w:t>
      </w:r>
      <w:r>
        <w:fldChar w:fldCharType="end"/>
      </w:r>
      <w:r>
        <w:t xml:space="preserve">, see example 5: </w:t>
      </w:r>
    </w:p>
    <w:p w14:paraId="25B895A6" w14:textId="77777777" w:rsidR="00E72CA9" w:rsidRDefault="00D516E3">
      <w:pPr>
        <w:pStyle w:val="ICRPannexparagraph"/>
        <w:numPr>
          <w:ilvl w:val="0"/>
          <w:numId w:val="0"/>
        </w:numPr>
        <w:spacing w:after="240"/>
        <w:ind w:left="284"/>
      </w:pPr>
      <w:r>
        <w:rPr>
          <w:i/>
        </w:rPr>
        <w:t xml:space="preserve">When the material is not present in the model, rads can be obtained from type 1, 2, 4, and 5 tallies by using an FM card where c is equal to the factor above times </w:t>
      </w:r>
      <w:r>
        <w:rPr>
          <w:i/>
          <w:iCs/>
        </w:rPr>
        <w:t>N</w:t>
      </w:r>
      <w:r>
        <w:rPr>
          <w:i/>
        </w:rPr>
        <w:t xml:space="preserve">o </w:t>
      </w:r>
      <w:r>
        <w:rPr>
          <w:i/>
          <w:iCs/>
        </w:rPr>
        <w:t>η×</w:t>
      </w:r>
      <w:r>
        <w:rPr>
          <w:i/>
        </w:rPr>
        <w:t>10</w:t>
      </w:r>
      <w:r>
        <w:rPr>
          <w:i/>
          <w:vertAlign w:val="superscript"/>
        </w:rPr>
        <w:t>−24</w:t>
      </w:r>
      <w:r>
        <w:rPr>
          <w:i/>
        </w:rPr>
        <w:t>/</w:t>
      </w:r>
      <w:r>
        <w:rPr>
          <w:i/>
          <w:iCs/>
        </w:rPr>
        <w:t>A</w:t>
      </w:r>
      <w:r>
        <w:rPr>
          <w:i/>
        </w:rPr>
        <w:t xml:space="preserve">, where </w:t>
      </w:r>
      <w:r>
        <w:rPr>
          <w:i/>
          <w:iCs/>
        </w:rPr>
        <w:t>N</w:t>
      </w:r>
      <w:r>
        <w:rPr>
          <w:i/>
        </w:rPr>
        <w:t xml:space="preserve">o is Avogadro’s number and </w:t>
      </w:r>
      <w:r>
        <w:rPr>
          <w:i/>
          <w:iCs/>
        </w:rPr>
        <w:t>η</w:t>
      </w:r>
      <w:r>
        <w:rPr>
          <w:i/>
        </w:rPr>
        <w:t xml:space="preserve"> and </w:t>
      </w:r>
      <w:r>
        <w:rPr>
          <w:i/>
          <w:iCs/>
        </w:rPr>
        <w:t>A</w:t>
      </w:r>
      <w:r>
        <w:rPr>
          <w:i/>
        </w:rPr>
        <w:t xml:space="preserve"> are the number of atoms/molecule and the atomic weight, respectively, of the material of interest. This value of c equals </w:t>
      </w:r>
      <w:proofErr w:type="spellStart"/>
      <w:r>
        <w:rPr>
          <w:i/>
          <w:iCs/>
        </w:rPr>
        <w:t>ρ</w:t>
      </w:r>
      <w:r>
        <w:rPr>
          <w:i/>
          <w:vertAlign w:val="subscript"/>
        </w:rPr>
        <w:t>a</w:t>
      </w:r>
      <w:proofErr w:type="spellEnd"/>
      <w:r>
        <w:rPr>
          <w:i/>
        </w:rPr>
        <w:t>/</w:t>
      </w:r>
      <w:proofErr w:type="spellStart"/>
      <w:r>
        <w:rPr>
          <w:i/>
          <w:iCs/>
        </w:rPr>
        <w:t>ρ</w:t>
      </w:r>
      <w:r>
        <w:rPr>
          <w:i/>
          <w:vertAlign w:val="subscript"/>
        </w:rPr>
        <w:t>g</w:t>
      </w:r>
      <w:proofErr w:type="spellEnd"/>
      <w:r>
        <w:rPr>
          <w:i/>
        </w:rPr>
        <w:t xml:space="preserve"> as discussed in Section 5.3.4 of the MCNP5 Theory Manual (Ref X-5 Monte Carlo Team, 2008). The implicit assumption when the material is not present is that it does not affect the radiation transport significantly. In the reaction list on the FM card, you must enter −4 1 for neutron heating and −5 −6 for photon heating. For both F4 and F6, if a heating number from the data library is negative, it is set to zero by the code</w:t>
      </w:r>
      <w:r>
        <w:t xml:space="preserve">. </w:t>
      </w:r>
    </w:p>
    <w:p w14:paraId="3551D7D9" w14:textId="77777777" w:rsidR="00E72CA9" w:rsidRDefault="00D516E3">
      <w:pPr>
        <w:pStyle w:val="ICRPannexparagraph"/>
        <w:numPr>
          <w:ilvl w:val="0"/>
          <w:numId w:val="0"/>
        </w:numPr>
      </w:pPr>
      <w:r>
        <w:t>This limitation, stated in the above mentioned manual and considered not to significantly affect radiation transport, is in this case not applicable, as the material or tissue is present but in conjunction with other materials. The only assumption in this case is that the active marrow is distributed homogeneously through the volume. The MCNP input file should contain:</w:t>
      </w:r>
    </w:p>
    <w:p w14:paraId="1FD271CE" w14:textId="77777777" w:rsidR="00E72CA9" w:rsidRDefault="00E72CA9">
      <w:pPr>
        <w:pStyle w:val="ICRPannexparagraph"/>
        <w:numPr>
          <w:ilvl w:val="0"/>
          <w:numId w:val="0"/>
        </w:numPr>
      </w:pPr>
    </w:p>
    <w:p w14:paraId="6764BABC"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b/>
          <w:bCs/>
          <w:sz w:val="22"/>
        </w:rPr>
        <w:t>F4:P</w:t>
      </w:r>
      <w:r>
        <w:rPr>
          <w:rFonts w:ascii="Courier New" w:hAnsi="Courier New" w:cs="Courier New"/>
          <w:sz w:val="22"/>
        </w:rPr>
        <w:t xml:space="preserve"> </w:t>
      </w:r>
      <w:proofErr w:type="spellStart"/>
      <w:r>
        <w:rPr>
          <w:rFonts w:ascii="Courier New" w:hAnsi="Courier New" w:cs="Courier New"/>
          <w:sz w:val="22"/>
        </w:rPr>
        <w:t>ID</w:t>
      </w:r>
      <w:r>
        <w:rPr>
          <w:rFonts w:ascii="Courier New" w:hAnsi="Courier New" w:cs="Courier New"/>
          <w:sz w:val="22"/>
          <w:vertAlign w:val="subscript"/>
        </w:rPr>
        <w:t>volume</w:t>
      </w:r>
      <w:proofErr w:type="spellEnd"/>
      <w:r>
        <w:rPr>
          <w:rFonts w:ascii="Courier New" w:hAnsi="Courier New" w:cs="Courier New"/>
          <w:sz w:val="22"/>
        </w:rPr>
        <w:t xml:space="preserve"> </w:t>
      </w:r>
    </w:p>
    <w:p w14:paraId="1E5CA267"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C Track length estimator (F4) for photons (:P) for cell </w:t>
      </w:r>
      <w:proofErr w:type="spellStart"/>
      <w:r>
        <w:rPr>
          <w:rFonts w:ascii="Courier New" w:hAnsi="Courier New" w:cs="Courier New"/>
          <w:sz w:val="22"/>
        </w:rPr>
        <w:t>ID</w:t>
      </w:r>
      <w:r>
        <w:rPr>
          <w:rFonts w:ascii="Courier New" w:hAnsi="Courier New" w:cs="Courier New"/>
          <w:sz w:val="22"/>
          <w:vertAlign w:val="subscript"/>
        </w:rPr>
        <w:t>volume</w:t>
      </w:r>
      <w:proofErr w:type="spellEnd"/>
    </w:p>
    <w:p w14:paraId="62CF16AB"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b/>
          <w:sz w:val="22"/>
        </w:rPr>
      </w:pPr>
      <w:r>
        <w:rPr>
          <w:rFonts w:ascii="Courier New" w:hAnsi="Courier New" w:cs="Courier New"/>
          <w:b/>
          <w:sz w:val="22"/>
        </w:rPr>
        <w:t xml:space="preserve">FM4  1.62840E-11 999 (-5 -6) </w:t>
      </w:r>
    </w:p>
    <w:p w14:paraId="3DA58260"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C Tally multiplier (FM4)</w:t>
      </w:r>
    </w:p>
    <w:p w14:paraId="11877811"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C Multiplier constant:                             1.62840E-11 = </w:t>
      </w:r>
    </w:p>
    <w:p w14:paraId="1515D9D4"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C    Conversion factor from (MeV/g) to (J/kg=Gy):  1.60218E-10 *</w:t>
      </w:r>
    </w:p>
    <w:p w14:paraId="02524F98"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C    Atomic density (Table 50/60) (atoms/barn-cm): 1.04686E-01 /</w:t>
      </w:r>
    </w:p>
    <w:p w14:paraId="2AC428D3"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C    Gram density (Table 50 or 60) (g/cm**3):      1.03000E+00</w:t>
      </w:r>
    </w:p>
    <w:p w14:paraId="425EFFBF"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C material number 999 (see also M999 card below)</w:t>
      </w:r>
    </w:p>
    <w:p w14:paraId="51860BBE"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C Reaction list (-5 -6)</w:t>
      </w:r>
    </w:p>
    <w:p w14:paraId="1E7D4B32"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C    Photon total cross section (-5) times</w:t>
      </w:r>
    </w:p>
    <w:p w14:paraId="47BA8878"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C    Photon heating number (-6) is the total energy deposited</w:t>
      </w:r>
    </w:p>
    <w:p w14:paraId="5A122C20"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b/>
          <w:sz w:val="22"/>
        </w:rPr>
      </w:pPr>
      <w:r>
        <w:rPr>
          <w:rFonts w:ascii="Courier New" w:hAnsi="Courier New" w:cs="Courier New"/>
          <w:b/>
          <w:sz w:val="22"/>
        </w:rPr>
        <w:t>M999 1000 -0.105 6000 -0.414 7000 -0.034 8000 -0.439 11000 -0.001</w:t>
      </w:r>
    </w:p>
    <w:p w14:paraId="06339AE0"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b/>
          <w:sz w:val="22"/>
        </w:rPr>
      </w:pPr>
      <w:r>
        <w:rPr>
          <w:rFonts w:ascii="Courier New" w:hAnsi="Courier New" w:cs="Courier New"/>
          <w:b/>
          <w:sz w:val="22"/>
        </w:rPr>
        <w:t xml:space="preserve">     12000 -0.002 15000 -0.002 16000 -0.002 26000 -0.001</w:t>
      </w:r>
    </w:p>
    <w:p w14:paraId="04C92F49"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C Material 999 has elemental composition of:</w:t>
      </w:r>
    </w:p>
    <w:p w14:paraId="3527C7EE"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nl-NL"/>
        </w:rPr>
      </w:pPr>
      <w:r>
        <w:rPr>
          <w:rFonts w:ascii="Courier New" w:hAnsi="Courier New" w:cs="Courier New"/>
          <w:sz w:val="22"/>
          <w:lang w:val="nl-NL"/>
        </w:rPr>
        <w:t>C    0.105 H, 0.414 C, 0.034 N, 0.439 O, 0.001 Na, 0.002 Mg,</w:t>
      </w:r>
    </w:p>
    <w:p w14:paraId="522DC915"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nl-NL"/>
        </w:rPr>
      </w:pPr>
      <w:r>
        <w:rPr>
          <w:rFonts w:ascii="Courier New" w:hAnsi="Courier New" w:cs="Courier New"/>
          <w:sz w:val="22"/>
          <w:lang w:val="nl-NL"/>
        </w:rPr>
        <w:t>C    0.002 P, 0.002 S, 0.001 Fe</w:t>
      </w:r>
    </w:p>
    <w:p w14:paraId="4187F961"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C Active marrow without blood; Table 13.4 </w:t>
      </w:r>
      <w:r>
        <w:rPr>
          <w:rFonts w:ascii="Courier New" w:hAnsi="Courier New" w:cs="Courier New"/>
          <w:sz w:val="22"/>
        </w:rPr>
        <w:fldChar w:fldCharType="begin"/>
      </w:r>
      <w:r>
        <w:rPr>
          <w:rFonts w:ascii="Courier New" w:hAnsi="Courier New" w:cs="Courier New"/>
          <w:sz w:val="22"/>
        </w:rPr>
        <w:instrText xml:space="preserve"> ADDIN EN.CITE &lt;EndNote&gt;&lt;Cite&gt;&lt;Author&gt;ICRP&lt;/Author&gt;&lt;Year&gt;2002&lt;/Year&gt;&lt;RecNum&gt;10616&lt;/RecNum&gt;&lt;DisplayText&gt;(ICRP, 2002)&lt;/DisplayText&gt;&lt;record&gt;&lt;rec-number&gt;10616&lt;/rec-number&gt;&lt;foreign-keys&gt;&lt;key app="EN" db-id="rss5s0wzrpx9pwe5a0h5a9wkx9sf2zexde9d" timestamp="1521451068"&gt;10616&lt;/key&gt;&lt;/foreign-keys&gt;&lt;ref-type name="Journal Article"&gt;17&lt;/ref-type&gt;&lt;contributors&gt;&lt;authors&gt;&lt;author&gt;ICRP,&lt;/author&gt;&lt;/authors&gt;&lt;/contributors&gt;&lt;titles&gt;&lt;title&gt;Basic anatomical and physiological data for use in radiological protection: reference values. ICRP publication 89&lt;/title&gt;&lt;secondary-title&gt;Annals of the ICRP&lt;/secondary-title&gt;&lt;/titles&gt;&lt;periodical&gt;&lt;full-title&gt;Annals of the ICRP&lt;/full-title&gt;&lt;abbr-1&gt;Ann. ICRP&lt;/abbr-1&gt;&lt;abbr-2&gt;Ann ICRP&lt;/abbr-2&gt;&lt;/periodical&gt;&lt;pages&gt;5&lt;/pages&gt;&lt;volume&gt;32&lt;/volume&gt;&lt;dates&gt;&lt;year&gt;2002&lt;/year&gt;&lt;/dates&gt;&lt;isbn&gt;0146-6453&lt;/isbn&gt;&lt;urls&gt;&lt;related-urls&gt;&lt;url&gt;http://dx.doi.org/10.1016/S0146-6453(02)00021-0&lt;/url&gt;&lt;/related-urls&gt;&lt;/urls&gt;&lt;/record&gt;&lt;/Cite&gt;&lt;/EndNote&gt;</w:instrText>
      </w:r>
      <w:r>
        <w:rPr>
          <w:rFonts w:ascii="Courier New" w:hAnsi="Courier New" w:cs="Courier New"/>
          <w:sz w:val="22"/>
        </w:rPr>
        <w:fldChar w:fldCharType="separate"/>
      </w:r>
      <w:r>
        <w:rPr>
          <w:rFonts w:ascii="Courier New" w:hAnsi="Courier New" w:cs="Courier New"/>
          <w:noProof/>
          <w:sz w:val="22"/>
        </w:rPr>
        <w:t>(ICRP, 2002)</w:t>
      </w:r>
      <w:r>
        <w:rPr>
          <w:rFonts w:ascii="Courier New" w:hAnsi="Courier New" w:cs="Courier New"/>
          <w:sz w:val="22"/>
        </w:rPr>
        <w:fldChar w:fldCharType="end"/>
      </w:r>
      <w:r>
        <w:rPr>
          <w:rFonts w:ascii="Courier New" w:hAnsi="Courier New" w:cs="Courier New"/>
          <w:sz w:val="22"/>
        </w:rPr>
        <w:t xml:space="preserve"> </w:t>
      </w:r>
      <m:oMath>
        <m:r>
          <w:rPr>
            <w:rFonts w:ascii="Cambria Math" w:hAnsi="Cambria Math" w:cs="Courier New"/>
            <w:sz w:val="22"/>
          </w:rPr>
          <m:t>ρ</m:t>
        </m:r>
      </m:oMath>
      <w:r>
        <w:rPr>
          <w:rFonts w:ascii="Courier New" w:hAnsi="Courier New" w:cs="Courier New"/>
          <w:sz w:val="22"/>
        </w:rPr>
        <w:t>=1.03 g/cm</w:t>
      </w:r>
      <w:r>
        <w:rPr>
          <w:rFonts w:ascii="Courier New" w:hAnsi="Courier New" w:cs="Courier New"/>
          <w:sz w:val="22"/>
          <w:vertAlign w:val="superscript"/>
        </w:rPr>
        <w:t>3</w:t>
      </w:r>
      <w:r>
        <w:rPr>
          <w:rFonts w:ascii="Courier New" w:hAnsi="Courier New" w:cs="Courier New"/>
          <w:sz w:val="22"/>
        </w:rPr>
        <w:t xml:space="preserve"> C </w:t>
      </w:r>
      <w:r>
        <w:rPr>
          <w:rFonts w:ascii="Courier New" w:hAnsi="Courier New" w:cs="Courier New"/>
          <w:sz w:val="22"/>
        </w:rPr>
        <w:fldChar w:fldCharType="begin"/>
      </w:r>
      <w:r>
        <w:rPr>
          <w:rFonts w:ascii="Courier New" w:hAnsi="Courier New" w:cs="Courier New"/>
          <w:sz w:val="22"/>
        </w:rPr>
        <w:instrText xml:space="preserve"> ADDIN EN.CITE &lt;EndNote&gt;&lt;Cite&gt;&lt;Author&gt;ICRU&lt;/Author&gt;&lt;Year&gt;1989&lt;/Year&gt;&lt;RecNum&gt;2983&lt;/RecNum&gt;&lt;DisplayText&gt;(ICRU, 1989)&lt;/DisplayText&gt;&lt;record&gt;&lt;rec-number&gt;2983&lt;/rec-number&gt;&lt;foreign-keys&gt;&lt;key app="EN" db-id="rss5s0wzrpx9pwe5a0h5a9wkx9sf2zexde9d" timestamp="0"&gt;2983&lt;/key&gt;&lt;/foreign-keys&gt;&lt;ref-type name="Report"&gt;27&lt;/ref-type&gt;&lt;contributors&gt;&lt;authors&gt;&lt;author&gt;ICRU&lt;/author&gt;&lt;/authors&gt;&lt;/contributors&gt;&lt;titles&gt;&lt;title&gt;Tissue substitutes in radiation dosimetry and measurement&lt;/title&gt;&lt;secondary-title&gt;ICRU Report&lt;/secondary-title&gt;&lt;/titles&gt;&lt;dates&gt;&lt;year&gt;1989&lt;/year&gt;&lt;/dates&gt;&lt;pub-location&gt;Bethesda, MD&lt;/pub-location&gt;&lt;publisher&gt;International Commission on Radiation Units and Measurements&lt;/publisher&gt;&lt;isbn&gt;44&lt;/isbn&gt;&lt;work-type&gt;ICRU Report&lt;/work-type&gt;&lt;urls&gt;&lt;/urls&gt;&lt;/record&gt;&lt;/Cite&gt;&lt;/EndNote&gt;</w:instrText>
      </w:r>
      <w:r>
        <w:rPr>
          <w:rFonts w:ascii="Courier New" w:hAnsi="Courier New" w:cs="Courier New"/>
          <w:sz w:val="22"/>
        </w:rPr>
        <w:fldChar w:fldCharType="separate"/>
      </w:r>
      <w:r>
        <w:rPr>
          <w:rFonts w:ascii="Courier New" w:hAnsi="Courier New" w:cs="Courier New"/>
          <w:noProof/>
          <w:sz w:val="22"/>
        </w:rPr>
        <w:t>(ICRU, 1989)</w:t>
      </w:r>
      <w:r>
        <w:rPr>
          <w:rFonts w:ascii="Courier New" w:hAnsi="Courier New" w:cs="Courier New"/>
          <w:sz w:val="22"/>
        </w:rPr>
        <w:fldChar w:fldCharType="end"/>
      </w:r>
    </w:p>
    <w:p w14:paraId="1876D469"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b/>
          <w:sz w:val="22"/>
        </w:rPr>
      </w:pPr>
      <w:r>
        <w:rPr>
          <w:rFonts w:ascii="Courier New" w:hAnsi="Courier New" w:cs="Courier New"/>
          <w:b/>
          <w:sz w:val="22"/>
        </w:rPr>
        <w:t>PRINT 50 60</w:t>
      </w:r>
    </w:p>
    <w:p w14:paraId="21BF6F47" w14:textId="77777777" w:rsidR="00E72CA9" w:rsidRDefault="00E72CA9">
      <w:pPr>
        <w:rPr>
          <w:rFonts w:ascii="Courier New" w:hAnsi="Courier New" w:cs="Courier New"/>
          <w:b/>
          <w:sz w:val="22"/>
        </w:rPr>
      </w:pPr>
    </w:p>
    <w:p w14:paraId="481CB3EF" w14:textId="77777777" w:rsidR="00E72CA9" w:rsidRDefault="00D516E3">
      <w:pPr>
        <w:pStyle w:val="ICRPannexparagraph"/>
        <w:tabs>
          <w:tab w:val="num" w:pos="862"/>
        </w:tabs>
        <w:ind w:left="0"/>
      </w:pPr>
      <w:r>
        <w:t>In the above MCNP input, the lines starting with a ‘C’ are comment lines, intended for the information of the reader but not interpreted by the code. It is easy to calculate the FM card value of 1.62840×</w:t>
      </w:r>
      <w:r>
        <w:rPr>
          <w:rFonts w:ascii="Cambria Math" w:hAnsi="Cambria Math"/>
        </w:rPr>
        <w:t>10</w:t>
      </w:r>
      <w:r>
        <w:rPr>
          <w:vertAlign w:val="superscript"/>
        </w:rPr>
        <w:t>−11</w:t>
      </w:r>
      <w:r>
        <w:t>, using the conversion factor for MeV g</w:t>
      </w:r>
      <w:r>
        <w:rPr>
          <w:vertAlign w:val="superscript"/>
        </w:rPr>
        <w:t>−1</w:t>
      </w:r>
      <w:r>
        <w:t xml:space="preserve"> to J kg</w:t>
      </w:r>
      <w:r>
        <w:rPr>
          <w:vertAlign w:val="superscript"/>
        </w:rPr>
        <w:t>−1</w:t>
      </w:r>
      <w:r>
        <w:t xml:space="preserve"> or Gy </w:t>
      </w:r>
      <w:r>
        <w:rPr>
          <w:szCs w:val="24"/>
        </w:rPr>
        <w:t>of 1.602×</w:t>
      </w:r>
      <w:r>
        <w:rPr>
          <w:rFonts w:ascii="Cambria Math" w:hAnsi="Cambria Math"/>
          <w:szCs w:val="24"/>
        </w:rPr>
        <w:t>10</w:t>
      </w:r>
      <w:r>
        <w:rPr>
          <w:szCs w:val="24"/>
          <w:vertAlign w:val="superscript"/>
        </w:rPr>
        <w:t>−10</w:t>
      </w:r>
      <w:r>
        <w:rPr>
          <w:szCs w:val="24"/>
        </w:rPr>
        <w:t>, times the atomic density, divided</w:t>
      </w:r>
      <w:r>
        <w:t xml:space="preserve"> by the density of material M999, (in this case, of red bone marrow or active bone marrow </w:t>
      </w:r>
      <w:r>
        <w:fldChar w:fldCharType="begin"/>
      </w:r>
      <w:r>
        <w:instrText xml:space="preserve"> ADDIN EN.CITE &lt;EndNote&gt;&lt;Cite&gt;&lt;Author&gt;ICRU&lt;/Author&gt;&lt;Year&gt;1989&lt;/Year&gt;&lt;RecNum&gt;2983&lt;/RecNum&gt;&lt;DisplayText&gt;(ICRU, 1989)&lt;/DisplayText&gt;&lt;record&gt;&lt;rec-number&gt;2983&lt;/rec-number&gt;&lt;foreign-keys&gt;&lt;key app="EN" db-id="rss5s0wzrpx9pwe5a0h5a9wkx9sf2zexde9d" timestamp="0"&gt;2983&lt;/key&gt;&lt;/foreign-keys&gt;&lt;ref-type name="Report"&gt;27&lt;/ref-type&gt;&lt;contributors&gt;&lt;authors&gt;&lt;author&gt;ICRU&lt;/author&gt;&lt;/authors&gt;&lt;/contributors&gt;&lt;titles&gt;&lt;title&gt;Tissue substitutes in radiation dosimetry and measurement&lt;/title&gt;&lt;secondary-title&gt;ICRU Report&lt;/secondary-title&gt;&lt;/titles&gt;&lt;dates&gt;&lt;year&gt;1989&lt;/year&gt;&lt;/dates&gt;&lt;pub-location&gt;Bethesda, MD&lt;/pub-location&gt;&lt;publisher&gt;International Commission on Radiation Units and Measurements&lt;/publisher&gt;&lt;isbn&gt;44&lt;/isbn&gt;&lt;work-type&gt;ICRU Report&lt;/work-type&gt;&lt;urls&gt;&lt;/urls&gt;&lt;/record&gt;&lt;/Cite&gt;&lt;/EndNote&gt;</w:instrText>
      </w:r>
      <w:r>
        <w:fldChar w:fldCharType="separate"/>
      </w:r>
      <w:r>
        <w:rPr>
          <w:noProof/>
        </w:rPr>
        <w:t>(ICRU, 1989)</w:t>
      </w:r>
      <w:r>
        <w:fldChar w:fldCharType="end"/>
      </w:r>
      <w:r>
        <w:t>). This is given in g cm</w:t>
      </w:r>
      <w:r>
        <w:rPr>
          <w:vertAlign w:val="superscript"/>
        </w:rPr>
        <w:t>−3</w:t>
      </w:r>
      <w:r>
        <w:t xml:space="preserve"> in the column indicating the gram density, as shown in Table 50 or 60 of the MCNP output using the </w:t>
      </w:r>
      <w:r>
        <w:lastRenderedPageBreak/>
        <w:t>‘PRINT 50 60’ card. The ‘M’ card indicates the integer material number directly followed by space separating the elementary composition of the material denoted in pair numbers. The first number is an integer denoting the atomic number times 1000. The second negative number expresses as absolute value the mass fraction of this element to the material. The total sum of mass fractions of the elements should be one (1.0) or, if this is not the case, MCNP will provide the normalisation to 1.0 and print a warning message that the material was not normalised.</w:t>
      </w:r>
      <w:r>
        <w:rPr>
          <w:rFonts w:ascii="Courier New" w:hAnsi="Courier New" w:cs="Courier New"/>
          <w:sz w:val="22"/>
        </w:rPr>
        <w:t xml:space="preserve">   </w:t>
      </w:r>
    </w:p>
    <w:p w14:paraId="102FBA0F" w14:textId="77777777" w:rsidR="00E72CA9" w:rsidRDefault="00D516E3">
      <w:pPr>
        <w:pStyle w:val="ICRPannexparagraph"/>
        <w:tabs>
          <w:tab w:val="clear" w:pos="646"/>
          <w:tab w:val="clear" w:pos="1004"/>
          <w:tab w:val="num" w:pos="709"/>
          <w:tab w:val="left" w:pos="993"/>
        </w:tabs>
        <w:ind w:left="0"/>
      </w:pPr>
      <w:r>
        <w:t xml:space="preserve">If the electron range becomes larger but is still much smaller than the smallest volume size, the assumption of electron range being much smaller than the marrow cavity size is no longer valid. This is the case for the diagnostic x-ray energy range with photon energies up to 150 keV: the photoelectrons could then have energies up to 150 keV, with a continuous slowing down approximation range in water of 281.7 µm [Table B.1, page 91 of ICRU Report </w:t>
      </w:r>
      <w:r>
        <w:fldChar w:fldCharType="begin"/>
      </w:r>
      <w:r>
        <w:instrText xml:space="preserve"> ADDIN EN.CITE &lt;EndNote&gt;&lt;Cite ExcludeAuth="1"&gt;&lt;Author&gt;ICRU&lt;/Author&gt;&lt;Year&gt;1997&lt;/Year&gt;&lt;RecNum&gt;2994&lt;/RecNum&gt;&lt;DisplayText&gt;(1997)&lt;/DisplayText&gt;&lt;record&gt;&lt;rec-number&gt;2994&lt;/rec-number&gt;&lt;foreign-keys&gt;&lt;key app="EN" db-id="rss5s0wzrpx9pwe5a0h5a9wkx9sf2zexde9d" timestamp="0"&gt;2994&lt;/key&gt;&lt;/foreign-keys&gt;&lt;ref-type name="Report"&gt;27&lt;/ref-type&gt;&lt;contributors&gt;&lt;authors&gt;&lt;author&gt;ICRU,&lt;/author&gt;&lt;/authors&gt;&lt;/contributors&gt;&lt;titles&gt;&lt;title&gt;Dosimetry of external beta-rays for radiation protection&lt;/title&gt;&lt;secondary-title&gt;ICRU Report&lt;/secondary-title&gt;&lt;/titles&gt;&lt;dates&gt;&lt;year&gt;1997&lt;/year&gt;&lt;/dates&gt;&lt;pub-location&gt;Bethesda, MD&lt;/pub-location&gt;&lt;publisher&gt;International Commission on Radiation Units and Measurements&lt;/publisher&gt;&lt;isbn&gt;56&lt;/isbn&gt;&lt;work-type&gt;ICRU Report&lt;/work-type&gt;&lt;urls&gt;&lt;/urls&gt;&lt;/record&gt;&lt;/Cite&gt;&lt;/EndNote&gt;</w:instrText>
      </w:r>
      <w:r>
        <w:fldChar w:fldCharType="separate"/>
      </w:r>
      <w:r>
        <w:rPr>
          <w:noProof/>
        </w:rPr>
        <w:t>(1997)</w:t>
      </w:r>
      <w:r>
        <w:fldChar w:fldCharType="end"/>
      </w:r>
      <w:r>
        <w:t xml:space="preserve">]. This photoelectron range is comparable to the mean pathlengths in the marrow cavities of the various bones of an adult male person which range between 154 and 1913 µm </w:t>
      </w:r>
      <w:r>
        <w:fldChar w:fldCharType="begin"/>
      </w:r>
      <w:r>
        <w:instrText xml:space="preserve"> ADDIN EN.CITE &lt;EndNote&gt;&lt;Cite&gt;&lt;Author&gt;Hough&lt;/Author&gt;&lt;Year&gt;2011&lt;/Year&gt;&lt;RecNum&gt;8931&lt;/RecNum&gt;&lt;DisplayText&gt;(Hough et al., 2011)&lt;/DisplayText&gt;&lt;record&gt;&lt;rec-number&gt;8931&lt;/rec-number&gt;&lt;foreign-keys&gt;&lt;key app="EN" db-id="rss5s0wzrpx9pwe5a0h5a9wkx9sf2zexde9d" timestamp="0"&gt;8931&lt;/key&gt;&lt;/foreign-keys&gt;&lt;ref-type name="Journal Article"&gt;17&lt;/ref-type&gt;&lt;contributors&gt;&lt;authors&gt;&lt;author&gt;Hough, Matthew&lt;/author&gt;&lt;author&gt;Johnson, Perry &lt;/author&gt;&lt;author&gt;Rajon, Didier &lt;/author&gt;&lt;author&gt;Jokisch, Derek &lt;/author&gt;&lt;author&gt;Lee, Choonsik &lt;/author&gt;&lt;author&gt;Bolch, Wesley &lt;/author&gt;&lt;/authors&gt;&lt;/contributors&gt;&lt;titles&gt;&lt;title&gt;An image-based skeletal dosimetry model for the ICRP reference adult male—internal electron sources&lt;/title&gt;&lt;secondary-title&gt;Physics in Medicine and Biology&lt;/secondary-title&gt;&lt;/titles&gt;&lt;pages&gt;2309-2346&lt;/pages&gt;&lt;volume&gt;56&lt;/volume&gt;&lt;number&gt;8&lt;/number&gt;&lt;dates&gt;&lt;year&gt;2011&lt;/year&gt;&lt;/dates&gt;&lt;isbn&gt;0031-9155&lt;/isbn&gt;&lt;urls&gt;&lt;related-urls&gt;&lt;url&gt;http://stacks.iop.org/0031-9155/56/i=8/a=001 &lt;/url&gt;&lt;/related-urls&gt;&lt;/urls&gt;&lt;/record&gt;&lt;/Cite&gt;&lt;/EndNote&gt;</w:instrText>
      </w:r>
      <w:r>
        <w:fldChar w:fldCharType="separate"/>
      </w:r>
      <w:r>
        <w:rPr>
          <w:noProof/>
        </w:rPr>
        <w:t>(Hough et al., 2011)</w:t>
      </w:r>
      <w:r>
        <w:fldChar w:fldCharType="end"/>
      </w:r>
      <w:r>
        <w:t xml:space="preserve">. </w:t>
      </w:r>
    </w:p>
    <w:p w14:paraId="120189F3" w14:textId="77777777" w:rsidR="00E72CA9" w:rsidRDefault="00D516E3">
      <w:pPr>
        <w:pStyle w:val="ICRPannexparagraph"/>
        <w:tabs>
          <w:tab w:val="clear" w:pos="1004"/>
          <w:tab w:val="num" w:pos="993"/>
        </w:tabs>
        <w:ind w:left="0"/>
        <w:rPr>
          <w:iCs/>
        </w:rPr>
      </w:pPr>
      <w:r>
        <w:rPr>
          <w:iCs/>
        </w:rPr>
        <w:t xml:space="preserve">From these dose response functions, DEF can be evaluated </w:t>
      </w:r>
      <w:r>
        <w:rPr>
          <w:iCs/>
        </w:rPr>
        <w:fldChar w:fldCharType="begin"/>
      </w:r>
      <w:r>
        <w:rPr>
          <w:iCs/>
        </w:rPr>
        <w:instrText xml:space="preserve"> ADDIN EN.CITE &lt;EndNote&gt;&lt;Cite&gt;&lt;Author&gt;Johnson&lt;/Author&gt;&lt;Year&gt;2011&lt;/Year&gt;&lt;RecNum&gt;8932&lt;/RecNum&gt;&lt;DisplayText&gt;(Johnson et al., 2011)&lt;/DisplayText&gt;&lt;record&gt;&lt;rec-number&gt;8932&lt;/rec-number&gt;&lt;foreign-keys&gt;&lt;key app="EN" db-id="rss5s0wzrpx9pwe5a0h5a9wkx9sf2zexde9d" timestamp="0"&gt;8932&lt;/key&gt;&lt;/foreign-keys&gt;&lt;ref-type name="Journal Article"&gt;17&lt;/ref-type&gt;&lt;contributors&gt;&lt;authors&gt;&lt;author&gt;Johnson, Perry B. &lt;/author&gt;&lt;author&gt;Bahadori, Amir A. &lt;/author&gt;&lt;author&gt;Eckerman, Keith F. &lt;/author&gt;&lt;author&gt;Lee, Choonsik &lt;/author&gt;&lt;author&gt;Bolch, Wesley E. &lt;/author&gt;&lt;/authors&gt;&lt;/contributors&gt;&lt;titles&gt;&lt;title&gt;&lt;style face="normal" font="default" size="100%"&gt;Response functions for computing absorbed dose to skeletal tissues from photon irradiation &lt;/style&gt;&lt;style face="normal" font="Symbol" charset="2" size="100%"&gt;-&lt;/style&gt;&lt;style face="normal" font="default" size="100%"&gt; an update&lt;/style&gt;&lt;/title&gt;&lt;secondary-title&gt;Physics in Medicine and Biology&lt;/secondary-title&gt;&lt;/titles&gt;&lt;pages&gt;2347–2365&lt;/pages&gt;&lt;volume&gt;56&lt;/volume&gt;&lt;number&gt;8&lt;/number&gt;&lt;dates&gt;&lt;year&gt;2011&lt;/year&gt;&lt;/dates&gt;&lt;isbn&gt;0031-9155&lt;/isbn&gt;&lt;urls&gt;&lt;related-urls&gt;&lt;url&gt;http://stacks.iop.org/0031-9155/56/i=8/a=002 &lt;/url&gt;&lt;/related-urls&gt;&lt;/urls&gt;&lt;/record&gt;&lt;/Cite&gt;&lt;/EndNote&gt;</w:instrText>
      </w:r>
      <w:r>
        <w:rPr>
          <w:iCs/>
        </w:rPr>
        <w:fldChar w:fldCharType="separate"/>
      </w:r>
      <w:r>
        <w:rPr>
          <w:iCs/>
          <w:noProof/>
        </w:rPr>
        <w:t>(Johnson et al., 2011)</w:t>
      </w:r>
      <w:r>
        <w:rPr>
          <w:iCs/>
        </w:rPr>
        <w:fldChar w:fldCharType="end"/>
      </w:r>
      <w:r>
        <w:rPr>
          <w:iCs/>
        </w:rPr>
        <w:t xml:space="preserve"> and these can be used with the MCNP tally 4 in order to modify the calculated dose by multiplying those with these DEF. An example is shown below for the active marrow dose and cranium spongiosa bone compartment [with volume ID number of 27 </w:t>
      </w:r>
      <w:r>
        <w:rPr>
          <w:iCs/>
        </w:rPr>
        <w:fldChar w:fldCharType="begin"/>
      </w:r>
      <w:r>
        <w:rPr>
          <w:iCs/>
        </w:rPr>
        <w:instrText xml:space="preserve"> ADDIN EN.CITE &lt;EndNote&gt;&lt;Cite&gt;&lt;Author&gt;ICRP&lt;/Author&gt;&lt;Year&gt;2009&lt;/Year&gt;&lt;RecNum&gt;11771&lt;/RecNum&gt;&lt;DisplayText&gt;(ICRP, 2009b)&lt;/DisplayText&gt;&lt;record&gt;&lt;rec-number&gt;11771&lt;/rec-number&gt;&lt;foreign-keys&gt;&lt;key app="EN" db-id="rss5s0wzrpx9pwe5a0h5a9wkx9sf2zexde9d" timestamp="1612861899"&gt;11771&lt;/key&gt;&lt;/foreign-keys&gt;&lt;ref-type name="Journal Article"&gt;17&lt;/ref-type&gt;&lt;contributors&gt;&lt;authors&gt;&lt;author&gt;ICRP,&lt;/author&gt;&lt;/authors&gt;&lt;tertiary-authors&gt;&lt;author&gt;Elsevier&lt;/author&gt;&lt;/tertiary-authors&gt;&lt;/contributors&gt;&lt;titles&gt;&lt;title&gt;Adult reference computational phantoms. ICRP Publication 110&lt;/title&gt;&lt;secondary-title&gt;Annals of the ICRP&lt;/secondary-title&gt;&lt;/titles&gt;&lt;periodical&gt;&lt;full-title&gt;Annals of the ICRP&lt;/full-title&gt;&lt;abbr-1&gt;Ann. ICRP&lt;/abbr-1&gt;&lt;abbr-2&gt;Ann ICRP&lt;/abbr-2&gt;&lt;/periodical&gt;&lt;volume&gt;39&lt;/volume&gt;&lt;number&gt;2&lt;/number&gt;&lt;dates&gt;&lt;year&gt;2009&lt;/year&gt;&lt;/dates&gt;&lt;pub-location&gt;Oxford, UK&lt;/pub-location&gt;&lt;publisher&gt;International Commission on Radiological Protection&lt;/publisher&gt;&lt;orig-pub&gt;Ann. ICRP 39(2)&lt;/orig-pub&gt;&lt;isbn&gt;ICRP Publication 110&lt;/isbn&gt;&lt;work-type&gt;ICRP Publication&lt;/work-type&gt;&lt;urls&gt;&lt;/urls&gt;&lt;/record&gt;&lt;/Cite&gt;&lt;/EndNote&gt;</w:instrText>
      </w:r>
      <w:r>
        <w:rPr>
          <w:iCs/>
        </w:rPr>
        <w:fldChar w:fldCharType="separate"/>
      </w:r>
      <w:r>
        <w:rPr>
          <w:iCs/>
          <w:noProof/>
        </w:rPr>
        <w:t>(ICRP, 2009b)</w:t>
      </w:r>
      <w:r>
        <w:rPr>
          <w:iCs/>
        </w:rPr>
        <w:fldChar w:fldCharType="end"/>
      </w:r>
      <w:r>
        <w:rPr>
          <w:iCs/>
        </w:rPr>
        <w:t>].</w:t>
      </w:r>
    </w:p>
    <w:p w14:paraId="6015E11A" w14:textId="77777777" w:rsidR="00E72CA9" w:rsidRDefault="00E72CA9">
      <w:pPr>
        <w:pStyle w:val="ICRPannexparagraph"/>
        <w:numPr>
          <w:ilvl w:val="0"/>
          <w:numId w:val="0"/>
        </w:numPr>
      </w:pPr>
    </w:p>
    <w:p w14:paraId="42699AA1"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b/>
          <w:bCs/>
          <w:sz w:val="22"/>
        </w:rPr>
        <w:t>F4:P</w:t>
      </w:r>
      <w:r>
        <w:rPr>
          <w:rFonts w:ascii="Courier New" w:hAnsi="Courier New" w:cs="Courier New"/>
          <w:sz w:val="22"/>
        </w:rPr>
        <w:t xml:space="preserve"> 27 </w:t>
      </w:r>
    </w:p>
    <w:p w14:paraId="685DF9D0"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b/>
          <w:bCs/>
          <w:sz w:val="22"/>
        </w:rPr>
        <w:t>FM4</w:t>
      </w:r>
      <w:r>
        <w:rPr>
          <w:rFonts w:ascii="Courier New" w:hAnsi="Courier New" w:cs="Courier New"/>
          <w:sz w:val="22"/>
        </w:rPr>
        <w:t xml:space="preserve">  1.62840E-11 999 (-5 -6)</w:t>
      </w:r>
    </w:p>
    <w:p w14:paraId="78458CE8"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b/>
          <w:bCs/>
          <w:sz w:val="22"/>
        </w:rPr>
        <w:t>DE4</w:t>
      </w:r>
      <w:r>
        <w:rPr>
          <w:rFonts w:ascii="Courier New" w:hAnsi="Courier New" w:cs="Courier New"/>
          <w:sz w:val="22"/>
        </w:rPr>
        <w:t xml:space="preserve">  0.008  0.010  0.015  0.02   0.03   0.04   0.05</w:t>
      </w:r>
    </w:p>
    <w:p w14:paraId="1F3B9326"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     0.06   0.08   0.10   0.15   0.20   0.30</w:t>
      </w:r>
    </w:p>
    <w:p w14:paraId="4B88DDD0"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b/>
          <w:bCs/>
          <w:sz w:val="22"/>
        </w:rPr>
        <w:t>DF4</w:t>
      </w:r>
      <w:r>
        <w:rPr>
          <w:rFonts w:ascii="Courier New" w:hAnsi="Courier New" w:cs="Courier New"/>
          <w:sz w:val="22"/>
        </w:rPr>
        <w:t xml:space="preserve">  1.0000 1.0107 1.0349 1.0663 1.1286 1.2059 1.2472</w:t>
      </w:r>
    </w:p>
    <w:p w14:paraId="5CB25990"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     1.2417 1.1686 1.1130 1.0217 1.0071 1.0000</w:t>
      </w:r>
    </w:p>
    <w:p w14:paraId="4122E3D2"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C Active Marrow DEF for cranium; according to Table 6, </w:t>
      </w:r>
      <w:r>
        <w:rPr>
          <w:rFonts w:ascii="Courier New" w:hAnsi="Courier New" w:cs="Courier New"/>
          <w:sz w:val="22"/>
        </w:rPr>
        <w:fldChar w:fldCharType="begin"/>
      </w:r>
      <w:r>
        <w:rPr>
          <w:rFonts w:ascii="Courier New" w:hAnsi="Courier New" w:cs="Courier New"/>
          <w:sz w:val="22"/>
        </w:rPr>
        <w:instrText xml:space="preserve"> ADDIN EN.CITE &lt;EndNote&gt;&lt;Cite&gt;&lt;Author&gt;Johnson&lt;/Author&gt;&lt;Year&gt;2011&lt;/Year&gt;&lt;RecNum&gt;8932&lt;/RecNum&gt;&lt;DisplayText&gt;(Johnson et al., 2011)&lt;/DisplayText&gt;&lt;record&gt;&lt;rec-number&gt;8932&lt;/rec-number&gt;&lt;foreign-keys&gt;&lt;key app="EN" db-id="rss5s0wzrpx9pwe5a0h5a9wkx9sf2zexde9d" timestamp="0"&gt;8932&lt;/key&gt;&lt;/foreign-keys&gt;&lt;ref-type name="Journal Article"&gt;17&lt;/ref-type&gt;&lt;contributors&gt;&lt;authors&gt;&lt;author&gt;Johnson, Perry B. &lt;/author&gt;&lt;author&gt;Bahadori, Amir A. &lt;/author&gt;&lt;author&gt;Eckerman, Keith F. &lt;/author&gt;&lt;author&gt;Lee, Choonsik &lt;/author&gt;&lt;author&gt;Bolch, Wesley E. &lt;/author&gt;&lt;/authors&gt;&lt;/contributors&gt;&lt;titles&gt;&lt;title&gt;&lt;style face="normal" font="default" size="100%"&gt;Response functions for computing absorbed dose to skeletal tissues from photon irradiation &lt;/style&gt;&lt;style face="normal" font="Symbol" charset="2" size="100%"&gt;-&lt;/style&gt;&lt;style face="normal" font="default" size="100%"&gt; an update&lt;/style&gt;&lt;/title&gt;&lt;secondary-title&gt;Physics in Medicine and Biology&lt;/secondary-title&gt;&lt;/titles&gt;&lt;pages&gt;2347–2365&lt;/pages&gt;&lt;volume&gt;56&lt;/volume&gt;&lt;number&gt;8&lt;/number&gt;&lt;dates&gt;&lt;year&gt;2011&lt;/year&gt;&lt;/dates&gt;&lt;isbn&gt;0031-9155&lt;/isbn&gt;&lt;urls&gt;&lt;related-urls&gt;&lt;url&gt;http://stacks.iop.org/0031-9155/56/i=8/a=002 &lt;/url&gt;&lt;/related-urls&gt;&lt;/urls&gt;&lt;/record&gt;&lt;/Cite&gt;&lt;/EndNote&gt;</w:instrText>
      </w:r>
      <w:r>
        <w:rPr>
          <w:rFonts w:ascii="Courier New" w:hAnsi="Courier New" w:cs="Courier New"/>
          <w:sz w:val="22"/>
        </w:rPr>
        <w:fldChar w:fldCharType="separate"/>
      </w:r>
      <w:r>
        <w:rPr>
          <w:rFonts w:ascii="Courier New" w:hAnsi="Courier New" w:cs="Courier New"/>
          <w:noProof/>
          <w:sz w:val="22"/>
        </w:rPr>
        <w:t>(Johnson et al., 2011)</w:t>
      </w:r>
      <w:r>
        <w:rPr>
          <w:rFonts w:ascii="Courier New" w:hAnsi="Courier New" w:cs="Courier New"/>
          <w:sz w:val="22"/>
        </w:rPr>
        <w:fldChar w:fldCharType="end"/>
      </w:r>
      <w:r>
        <w:rPr>
          <w:rFonts w:ascii="Courier New" w:hAnsi="Courier New" w:cs="Courier New"/>
          <w:sz w:val="22"/>
        </w:rPr>
        <w:t>.</w:t>
      </w:r>
    </w:p>
    <w:p w14:paraId="728AC873"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b/>
          <w:bCs/>
          <w:sz w:val="22"/>
        </w:rPr>
        <w:t>M999</w:t>
      </w:r>
      <w:r>
        <w:rPr>
          <w:rFonts w:ascii="Courier New" w:hAnsi="Courier New" w:cs="Courier New"/>
          <w:sz w:val="22"/>
        </w:rPr>
        <w:t xml:space="preserve"> 1000 -0.105 6000 -0.414 7000 -0.034 8000 -0.439 11000 -0.001</w:t>
      </w:r>
    </w:p>
    <w:p w14:paraId="5138E9D3"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     12000 -0.002 15000 -0.002 16000 -0.002 26000 -0.001</w:t>
      </w:r>
    </w:p>
    <w:p w14:paraId="0F6F1BD9"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C Active marrow without blood; Table 13.4 </w:t>
      </w:r>
      <w:r>
        <w:rPr>
          <w:rFonts w:ascii="Courier New" w:hAnsi="Courier New" w:cs="Courier New"/>
          <w:sz w:val="22"/>
        </w:rPr>
        <w:fldChar w:fldCharType="begin"/>
      </w:r>
      <w:r>
        <w:rPr>
          <w:rFonts w:ascii="Courier New" w:hAnsi="Courier New" w:cs="Courier New"/>
          <w:sz w:val="22"/>
        </w:rPr>
        <w:instrText xml:space="preserve"> ADDIN EN.CITE &lt;EndNote&gt;&lt;Cite&gt;&lt;Author&gt;ICRP&lt;/Author&gt;&lt;Year&gt;2002&lt;/Year&gt;&lt;RecNum&gt;10616&lt;/RecNum&gt;&lt;DisplayText&gt;(ICRP, 2002)&lt;/DisplayText&gt;&lt;record&gt;&lt;rec-number&gt;10616&lt;/rec-number&gt;&lt;foreign-keys&gt;&lt;key app="EN" db-id="rss5s0wzrpx9pwe5a0h5a9wkx9sf2zexde9d" timestamp="1521451068"&gt;10616&lt;/key&gt;&lt;/foreign-keys&gt;&lt;ref-type name="Journal Article"&gt;17&lt;/ref-type&gt;&lt;contributors&gt;&lt;authors&gt;&lt;author&gt;ICRP,&lt;/author&gt;&lt;/authors&gt;&lt;/contributors&gt;&lt;titles&gt;&lt;title&gt;Basic anatomical and physiological data for use in radiological protection: reference values. ICRP publication 89&lt;/title&gt;&lt;secondary-title&gt;Annals of the ICRP&lt;/secondary-title&gt;&lt;/titles&gt;&lt;periodical&gt;&lt;full-title&gt;Annals of the ICRP&lt;/full-title&gt;&lt;abbr-1&gt;Ann. ICRP&lt;/abbr-1&gt;&lt;abbr-2&gt;Ann ICRP&lt;/abbr-2&gt;&lt;/periodical&gt;&lt;pages&gt;5&lt;/pages&gt;&lt;volume&gt;32&lt;/volume&gt;&lt;dates&gt;&lt;year&gt;2002&lt;/year&gt;&lt;/dates&gt;&lt;isbn&gt;0146-6453&lt;/isbn&gt;&lt;urls&gt;&lt;related-urls&gt;&lt;url&gt;http://dx.doi.org/10.1016/S0146-6453(02)00021-0&lt;/url&gt;&lt;/related-urls&gt;&lt;/urls&gt;&lt;/record&gt;&lt;/Cite&gt;&lt;/EndNote&gt;</w:instrText>
      </w:r>
      <w:r>
        <w:rPr>
          <w:rFonts w:ascii="Courier New" w:hAnsi="Courier New" w:cs="Courier New"/>
          <w:sz w:val="22"/>
        </w:rPr>
        <w:fldChar w:fldCharType="separate"/>
      </w:r>
      <w:r>
        <w:rPr>
          <w:rFonts w:ascii="Courier New" w:hAnsi="Courier New" w:cs="Courier New"/>
          <w:noProof/>
          <w:sz w:val="22"/>
        </w:rPr>
        <w:t>(ICRP, 2002)</w:t>
      </w:r>
      <w:r>
        <w:rPr>
          <w:rFonts w:ascii="Courier New" w:hAnsi="Courier New" w:cs="Courier New"/>
          <w:sz w:val="22"/>
        </w:rPr>
        <w:fldChar w:fldCharType="end"/>
      </w:r>
      <w:r>
        <w:rPr>
          <w:rFonts w:ascii="Courier New" w:hAnsi="Courier New" w:cs="Courier New"/>
          <w:sz w:val="22"/>
        </w:rPr>
        <w:t>; ρ=1.03 g/cm</w:t>
      </w:r>
      <w:r>
        <w:rPr>
          <w:rFonts w:ascii="Courier New" w:hAnsi="Courier New" w:cs="Courier New"/>
          <w:sz w:val="22"/>
          <w:vertAlign w:val="superscript"/>
        </w:rPr>
        <w:t>3</w:t>
      </w:r>
      <w:r>
        <w:rPr>
          <w:rFonts w:ascii="Courier New" w:hAnsi="Courier New" w:cs="Courier New"/>
          <w:sz w:val="22"/>
        </w:rPr>
        <w:t xml:space="preserve"> C </w:t>
      </w:r>
      <w:r>
        <w:rPr>
          <w:rFonts w:ascii="Courier New" w:hAnsi="Courier New" w:cs="Courier New"/>
          <w:sz w:val="22"/>
        </w:rPr>
        <w:fldChar w:fldCharType="begin"/>
      </w:r>
      <w:r>
        <w:rPr>
          <w:rFonts w:ascii="Courier New" w:hAnsi="Courier New" w:cs="Courier New"/>
          <w:sz w:val="22"/>
        </w:rPr>
        <w:instrText xml:space="preserve"> ADDIN EN.CITE &lt;EndNote&gt;&lt;Cite&gt;&lt;Author&gt;ICRU&lt;/Author&gt;&lt;Year&gt;1989&lt;/Year&gt;&lt;RecNum&gt;2983&lt;/RecNum&gt;&lt;DisplayText&gt;(ICRU, 1989)&lt;/DisplayText&gt;&lt;record&gt;&lt;rec-number&gt;2983&lt;/rec-number&gt;&lt;foreign-keys&gt;&lt;key app="EN" db-id="rss5s0wzrpx9pwe5a0h5a9wkx9sf2zexde9d" timestamp="0"&gt;2983&lt;/key&gt;&lt;/foreign-keys&gt;&lt;ref-type name="Report"&gt;27&lt;/ref-type&gt;&lt;contributors&gt;&lt;authors&gt;&lt;author&gt;ICRU&lt;/author&gt;&lt;/authors&gt;&lt;/contributors&gt;&lt;titles&gt;&lt;title&gt;Tissue substitutes in radiation dosimetry and measurement&lt;/title&gt;&lt;secondary-title&gt;ICRU Report&lt;/secondary-title&gt;&lt;/titles&gt;&lt;dates&gt;&lt;year&gt;1989&lt;/year&gt;&lt;/dates&gt;&lt;pub-location&gt;Bethesda, MD&lt;/pub-location&gt;&lt;publisher&gt;International Commission on Radiation Units and Measurements&lt;/publisher&gt;&lt;isbn&gt;44&lt;/isbn&gt;&lt;work-type&gt;ICRU Report&lt;/work-type&gt;&lt;urls&gt;&lt;/urls&gt;&lt;/record&gt;&lt;/Cite&gt;&lt;/EndNote&gt;</w:instrText>
      </w:r>
      <w:r>
        <w:rPr>
          <w:rFonts w:ascii="Courier New" w:hAnsi="Courier New" w:cs="Courier New"/>
          <w:sz w:val="22"/>
        </w:rPr>
        <w:fldChar w:fldCharType="separate"/>
      </w:r>
      <w:r>
        <w:rPr>
          <w:rFonts w:ascii="Courier New" w:hAnsi="Courier New" w:cs="Courier New"/>
          <w:noProof/>
          <w:sz w:val="22"/>
        </w:rPr>
        <w:t>(ICRU, 1989)</w:t>
      </w:r>
      <w:r>
        <w:rPr>
          <w:rFonts w:ascii="Courier New" w:hAnsi="Courier New" w:cs="Courier New"/>
          <w:sz w:val="22"/>
        </w:rPr>
        <w:fldChar w:fldCharType="end"/>
      </w:r>
    </w:p>
    <w:p w14:paraId="348BFF4B"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PRINT 50 60</w:t>
      </w:r>
    </w:p>
    <w:p w14:paraId="79CDA135" w14:textId="77777777" w:rsidR="00E72CA9" w:rsidRDefault="00E72CA9"/>
    <w:p w14:paraId="60AE5A99" w14:textId="77777777" w:rsidR="00E72CA9" w:rsidRDefault="00D516E3">
      <w:pPr>
        <w:pStyle w:val="ICRPannexparagraph"/>
        <w:tabs>
          <w:tab w:val="clear" w:pos="1004"/>
          <w:tab w:val="num" w:pos="993"/>
        </w:tabs>
        <w:ind w:left="0"/>
      </w:pPr>
      <w:r>
        <w:t xml:space="preserve">The ‘FM’ card and the ‘M’ card are as explained above. The ‘DE’ card gives the photon energies in MeV units with the DEF given as a fraction on the corresponding position on the ‘DF’ card. The log-log interpolation technique is used to calculate the DEF for an arbitrary photon energy, </w:t>
      </w:r>
      <w:r>
        <w:rPr>
          <w:i/>
          <w:iCs/>
        </w:rPr>
        <w:t>E</w:t>
      </w:r>
      <w:r>
        <w:t>. Lines beginning with a ‘C’, followed by spaces are comment lines. The PRINT card asks the MCNP program to display the table of the corresponding argument numbers. Tables 50 and 60 are used to calculate the first argument on the ‘FM’ card. If the second argument on the ‘FM’ card, indicating the material card number, is not used in any MCNP cell, then a virtual cell with this material should be added to the MCNP input which is far away in the ‘outside world’ i.e. outside the region of interest, and thus no photon can reach it. In this way, this cell does not contribute to the Monte Carlo calculated results but it is contained in the MCNP set-up tables.</w:t>
      </w:r>
    </w:p>
    <w:p w14:paraId="1BD69299" w14:textId="77777777" w:rsidR="00E72CA9" w:rsidRDefault="00D516E3">
      <w:pPr>
        <w:pStyle w:val="ICRPannexparagraph"/>
        <w:tabs>
          <w:tab w:val="clear" w:pos="1004"/>
          <w:tab w:val="num" w:pos="993"/>
        </w:tabs>
        <w:ind w:left="0"/>
        <w:rPr>
          <w:iCs/>
        </w:rPr>
      </w:pPr>
      <w:r>
        <w:rPr>
          <w:iCs/>
        </w:rPr>
        <w:t xml:space="preserve">As not all Monte Carlo radiation transport codes have the option to tally a region for another material, and the present document intends to provide guidance for the most used codes, the DRF are used, as defined in Johnson et al. (2011) and ICRP </w:t>
      </w:r>
      <w:r>
        <w:rPr>
          <w:i/>
          <w:iCs/>
        </w:rPr>
        <w:t>Publication 116</w:t>
      </w:r>
      <w:r>
        <w:rPr>
          <w:iCs/>
        </w:rPr>
        <w:t xml:space="preserve"> (2010). The above example for cranium and spongiosa bone compartment and the respective dose enhancement of the latter is expressed in MCNP format, using DRF and converting the unit Gy m</w:t>
      </w:r>
      <w:r>
        <w:rPr>
          <w:iCs/>
          <w:vertAlign w:val="superscript"/>
        </w:rPr>
        <w:t xml:space="preserve">2 </w:t>
      </w:r>
      <w:r>
        <w:rPr>
          <w:iCs/>
        </w:rPr>
        <w:t>into Gy cm</w:t>
      </w:r>
      <w:r>
        <w:rPr>
          <w:iCs/>
          <w:vertAlign w:val="superscript"/>
        </w:rPr>
        <w:t>2</w:t>
      </w:r>
      <w:r>
        <w:rPr>
          <w:iCs/>
        </w:rPr>
        <w:t>, as required by MCNP.</w:t>
      </w:r>
    </w:p>
    <w:p w14:paraId="11C2CA75" w14:textId="77777777" w:rsidR="00E72CA9" w:rsidRDefault="00E72CA9"/>
    <w:p w14:paraId="78DD99EE" w14:textId="77777777" w:rsidR="00E72CA9" w:rsidRDefault="00E72CA9"/>
    <w:p w14:paraId="68673ED6"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de-DE"/>
        </w:rPr>
      </w:pPr>
      <w:r>
        <w:rPr>
          <w:rFonts w:ascii="Courier New" w:hAnsi="Courier New" w:cs="Courier New"/>
          <w:b/>
          <w:bCs/>
          <w:sz w:val="22"/>
          <w:lang w:val="de-DE"/>
        </w:rPr>
        <w:t>F4:P</w:t>
      </w:r>
      <w:r>
        <w:rPr>
          <w:rFonts w:ascii="Courier New" w:hAnsi="Courier New" w:cs="Courier New"/>
          <w:sz w:val="22"/>
          <w:lang w:val="de-DE"/>
        </w:rPr>
        <w:t xml:space="preserve"> 27 </w:t>
      </w:r>
    </w:p>
    <w:p w14:paraId="5BE28FDA"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de-DE"/>
        </w:rPr>
      </w:pPr>
      <w:r>
        <w:rPr>
          <w:rFonts w:ascii="Courier New" w:hAnsi="Courier New" w:cs="Courier New"/>
          <w:b/>
          <w:bCs/>
          <w:sz w:val="22"/>
          <w:lang w:val="de-DE"/>
        </w:rPr>
        <w:t>DE4</w:t>
      </w:r>
      <w:r>
        <w:rPr>
          <w:rFonts w:ascii="Courier New" w:hAnsi="Courier New" w:cs="Courier New"/>
          <w:sz w:val="22"/>
          <w:lang w:val="de-DE"/>
        </w:rPr>
        <w:t xml:space="preserve">  0.010     0.015     0.02      0.03      0.04      0.05</w:t>
      </w:r>
    </w:p>
    <w:p w14:paraId="1DB57E8E"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de-DE"/>
        </w:rPr>
      </w:pPr>
      <w:r>
        <w:rPr>
          <w:rFonts w:ascii="Courier New" w:hAnsi="Courier New" w:cs="Courier New"/>
          <w:sz w:val="22"/>
          <w:lang w:val="de-DE"/>
        </w:rPr>
        <w:t xml:space="preserve">     0.06      0.08      0.10      0.15      0.2       0.3</w:t>
      </w:r>
    </w:p>
    <w:p w14:paraId="56C4D7B0"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de-DE"/>
        </w:rPr>
      </w:pPr>
      <w:r>
        <w:rPr>
          <w:rFonts w:ascii="Courier New" w:hAnsi="Courier New" w:cs="Courier New"/>
          <w:sz w:val="22"/>
          <w:lang w:val="de-DE"/>
        </w:rPr>
        <w:t xml:space="preserve">     0.4       0.5       0.6       0.8       1.0       1.5</w:t>
      </w:r>
    </w:p>
    <w:p w14:paraId="58936D6D"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de-DE"/>
        </w:rPr>
      </w:pPr>
      <w:r>
        <w:rPr>
          <w:rFonts w:ascii="Courier New" w:hAnsi="Courier New" w:cs="Courier New"/>
          <w:sz w:val="22"/>
          <w:lang w:val="de-DE"/>
        </w:rPr>
        <w:t xml:space="preserve">     2.0       3.0       4.0       5.0       6.0       8.0</w:t>
      </w:r>
    </w:p>
    <w:p w14:paraId="2AD9DD6B"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de-DE"/>
        </w:rPr>
      </w:pPr>
      <w:r>
        <w:rPr>
          <w:rFonts w:ascii="Courier New" w:hAnsi="Courier New" w:cs="Courier New"/>
          <w:sz w:val="22"/>
          <w:lang w:val="de-DE"/>
        </w:rPr>
        <w:t xml:space="preserve">     10.0</w:t>
      </w:r>
    </w:p>
    <w:p w14:paraId="03101E27"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de-DE"/>
        </w:rPr>
      </w:pPr>
      <w:r>
        <w:rPr>
          <w:rFonts w:ascii="Courier New" w:hAnsi="Courier New" w:cs="Courier New"/>
          <w:b/>
          <w:bCs/>
          <w:sz w:val="22"/>
          <w:lang w:val="de-DE"/>
        </w:rPr>
        <w:t>DF4</w:t>
      </w:r>
      <w:r>
        <w:rPr>
          <w:rFonts w:ascii="Courier New" w:hAnsi="Courier New" w:cs="Courier New"/>
          <w:sz w:val="22"/>
          <w:lang w:val="de-DE"/>
        </w:rPr>
        <w:t xml:space="preserve">  6.207E-12 2.673E-12 1.478E-12 6.755E-13 4.439E-13 3.630E-13</w:t>
      </w:r>
    </w:p>
    <w:p w14:paraId="1C616E33"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de-DE"/>
        </w:rPr>
      </w:pPr>
      <w:r>
        <w:rPr>
          <w:rFonts w:ascii="Courier New" w:hAnsi="Courier New" w:cs="Courier New"/>
          <w:sz w:val="22"/>
          <w:lang w:val="de-DE"/>
        </w:rPr>
        <w:t xml:space="preserve">     3.399E-13 3.663E-13 4.386E-13 6.656E-13 9.503E-13 1.484E-12</w:t>
      </w:r>
    </w:p>
    <w:p w14:paraId="60CD5E90"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lang w:val="de-DE"/>
        </w:rPr>
      </w:pPr>
      <w:r>
        <w:rPr>
          <w:rFonts w:ascii="Courier New" w:hAnsi="Courier New" w:cs="Courier New"/>
          <w:sz w:val="22"/>
          <w:lang w:val="de-DE"/>
        </w:rPr>
        <w:t xml:space="preserve">     2.025E-12 2.543E-12 3.037E-12 3.951E-12 4.783E-12 6.563E-12</w:t>
      </w:r>
    </w:p>
    <w:p w14:paraId="41B1A875"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lang w:val="de-DE"/>
        </w:rPr>
        <w:t xml:space="preserve">     </w:t>
      </w:r>
      <w:r>
        <w:rPr>
          <w:rFonts w:ascii="Courier New" w:hAnsi="Courier New" w:cs="Courier New"/>
          <w:sz w:val="22"/>
        </w:rPr>
        <w:t>8.076E-12 1.070E-11 1.309E-11 1.537E-11 1.764E-11 2.217E-11</w:t>
      </w:r>
    </w:p>
    <w:p w14:paraId="57986ACB"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     2.689E-11</w:t>
      </w:r>
    </w:p>
    <w:p w14:paraId="0D45C2DE" w14:textId="77777777" w:rsidR="00E72CA9" w:rsidRDefault="00D516E3">
      <w:pPr>
        <w:pBdr>
          <w:top w:val="single" w:sz="4" w:space="1" w:color="auto"/>
          <w:left w:val="single" w:sz="4" w:space="4" w:color="auto"/>
          <w:bottom w:val="single" w:sz="4" w:space="1" w:color="auto"/>
          <w:right w:val="single" w:sz="4" w:space="4" w:color="auto"/>
        </w:pBdr>
        <w:rPr>
          <w:rFonts w:ascii="Courier New" w:hAnsi="Courier New" w:cs="Courier New"/>
          <w:sz w:val="22"/>
        </w:rPr>
      </w:pPr>
      <w:r>
        <w:rPr>
          <w:rFonts w:ascii="Courier New" w:hAnsi="Courier New" w:cs="Courier New"/>
          <w:sz w:val="22"/>
        </w:rPr>
        <w:t xml:space="preserve">C Active Marrow DRF for cranium; according to Johnson et al. </w:t>
      </w:r>
      <w:r>
        <w:rPr>
          <w:rFonts w:ascii="Courier New" w:hAnsi="Courier New" w:cs="Courier New"/>
          <w:sz w:val="22"/>
        </w:rPr>
        <w:fldChar w:fldCharType="begin"/>
      </w:r>
      <w:r>
        <w:rPr>
          <w:rFonts w:ascii="Courier New" w:hAnsi="Courier New" w:cs="Courier New"/>
          <w:sz w:val="22"/>
        </w:rPr>
        <w:instrText xml:space="preserve"> ADDIN EN.CITE &lt;EndNote&gt;&lt;Cite ExcludeAuth="1"&gt;&lt;Author&gt;Johnson&lt;/Author&gt;&lt;Year&gt;2011&lt;/Year&gt;&lt;RecNum&gt;8932&lt;/RecNum&gt;&lt;DisplayText&gt;(2011)&lt;/DisplayText&gt;&lt;record&gt;&lt;rec-number&gt;8932&lt;/rec-number&gt;&lt;foreign-keys&gt;&lt;key app="EN" db-id="rss5s0wzrpx9pwe5a0h5a9wkx9sf2zexde9d" timestamp="0"&gt;8932&lt;/key&gt;&lt;/foreign-keys&gt;&lt;ref-type name="Journal Article"&gt;17&lt;/ref-type&gt;&lt;contributors&gt;&lt;authors&gt;&lt;author&gt;Johnson, Perry B. &lt;/author&gt;&lt;author&gt;Bahadori, Amir A. &lt;/author&gt;&lt;author&gt;Eckerman, Keith F. &lt;/author&gt;&lt;author&gt;Lee, Choonsik &lt;/author&gt;&lt;author&gt;Bolch, Wesley E. &lt;/author&gt;&lt;/authors&gt;&lt;/contributors&gt;&lt;titles&gt;&lt;title&gt;&lt;style face="normal" font="default" size="100%"&gt;Response functions for computing absorbed dose to skeletal tissues from photon irradiation &lt;/style&gt;&lt;style face="normal" font="Symbol" charset="2" size="100%"&gt;-&lt;/style&gt;&lt;style face="normal" font="default" size="100%"&gt; an update&lt;/style&gt;&lt;/title&gt;&lt;secondary-title&gt;Physics in Medicine and Biology&lt;/secondary-title&gt;&lt;/titles&gt;&lt;pages&gt;2347–2365&lt;/pages&gt;&lt;volume&gt;56&lt;/volume&gt;&lt;number&gt;8&lt;/number&gt;&lt;dates&gt;&lt;year&gt;2011&lt;/year&gt;&lt;/dates&gt;&lt;isbn&gt;0031-9155&lt;/isbn&gt;&lt;urls&gt;&lt;related-urls&gt;&lt;url&gt;http://stacks.iop.org/0031-9155/56/i=8/a=002 &lt;/url&gt;&lt;/related-urls&gt;&lt;/urls&gt;&lt;/record&gt;&lt;/Cite&gt;&lt;/EndNote&gt;</w:instrText>
      </w:r>
      <w:r>
        <w:rPr>
          <w:rFonts w:ascii="Courier New" w:hAnsi="Courier New" w:cs="Courier New"/>
          <w:sz w:val="22"/>
        </w:rPr>
        <w:fldChar w:fldCharType="separate"/>
      </w:r>
      <w:r>
        <w:rPr>
          <w:rFonts w:ascii="Courier New" w:hAnsi="Courier New" w:cs="Courier New"/>
          <w:noProof/>
          <w:sz w:val="22"/>
        </w:rPr>
        <w:t>(2011)</w:t>
      </w:r>
      <w:r>
        <w:rPr>
          <w:rFonts w:ascii="Courier New" w:hAnsi="Courier New" w:cs="Courier New"/>
          <w:sz w:val="22"/>
        </w:rPr>
        <w:fldChar w:fldCharType="end"/>
      </w:r>
      <w:r>
        <w:rPr>
          <w:rFonts w:ascii="Courier New" w:hAnsi="Courier New" w:cs="Courier New"/>
          <w:sz w:val="22"/>
        </w:rPr>
        <w:t>, C Table 1.</w:t>
      </w:r>
    </w:p>
    <w:p w14:paraId="48517F50" w14:textId="77777777" w:rsidR="00E72CA9" w:rsidRDefault="00E72CA9"/>
    <w:p w14:paraId="798DF088" w14:textId="77777777" w:rsidR="00E72CA9" w:rsidRDefault="00D516E3">
      <w:pPr>
        <w:pStyle w:val="ICRPannexparagraph"/>
        <w:tabs>
          <w:tab w:val="clear" w:pos="1004"/>
          <w:tab w:val="num" w:pos="993"/>
        </w:tabs>
        <w:ind w:left="0"/>
      </w:pPr>
      <w:r>
        <w:t>The ‘F4’ card indicates a track length estimation of the cell or volume with the ID number as the first argument. The integer number following the F is the tally ID number, in this case the number 4. The ‘:P’ that follows this integer tally ID number, indicates to use the tallying (i.e. scoring) of photons only. The ‘DE’ card gives, as previously, the photon energies in MeV within the corresponding position and the ‘DF’ card returns the DRF in Gy cm</w:t>
      </w:r>
      <w:r>
        <w:rPr>
          <w:vertAlign w:val="superscript"/>
        </w:rPr>
        <w:t>2</w:t>
      </w:r>
      <w:r>
        <w:t xml:space="preserve">. The number directly following the ‘DE’ and ‘DF’ is the tally ID. Again, log- log interpolation is used to derive the DRF for an arbitrary photon energy, </w:t>
      </w:r>
      <w:r>
        <w:rPr>
          <w:i/>
          <w:iCs/>
        </w:rPr>
        <w:t>E</w:t>
      </w:r>
      <w:r>
        <w:t>.</w:t>
      </w:r>
    </w:p>
    <w:p w14:paraId="555194C1" w14:textId="77777777" w:rsidR="00E72CA9" w:rsidRDefault="00D516E3">
      <w:pPr>
        <w:pStyle w:val="ICRPannexheading3"/>
        <w:ind w:left="720"/>
      </w:pPr>
      <w:r>
        <w:t>PHITS</w:t>
      </w:r>
    </w:p>
    <w:p w14:paraId="35C499FD" w14:textId="77777777" w:rsidR="00E72CA9" w:rsidRDefault="00D516E3">
      <w:pPr>
        <w:pStyle w:val="ICRPannexparagraph"/>
        <w:ind w:left="0"/>
        <w:rPr>
          <w:szCs w:val="24"/>
        </w:rPr>
      </w:pPr>
      <w:r>
        <w:rPr>
          <w:szCs w:val="24"/>
        </w:rPr>
        <w:t xml:space="preserve">The Particle and Heavy Ion Transport code system, PHITS (Particle and Heavy Ion Transport code System) </w:t>
      </w:r>
      <w:r>
        <w:rPr>
          <w:szCs w:val="24"/>
        </w:rPr>
        <w:fldChar w:fldCharType="begin"/>
      </w:r>
      <w:r>
        <w:rPr>
          <w:szCs w:val="24"/>
        </w:rPr>
        <w:instrText xml:space="preserve"> ADDIN EN.CITE &lt;EndNote&gt;&lt;Cite&gt;&lt;Author&gt;Sato&lt;/Author&gt;&lt;Year&gt;2023&lt;/Year&gt;&lt;RecNum&gt;12498&lt;/RecNum&gt;&lt;DisplayText&gt;(Sato et al., 2023)&lt;/DisplayText&gt;&lt;record&gt;&lt;rec-number&gt;12498&lt;/rec-number&gt;&lt;foreign-keys&gt;&lt;key app="EN" db-id="rss5s0wzrpx9pwe5a0h5a9wkx9sf2zexde9d" timestamp="1706706467"&gt;12498&lt;/key&gt;&lt;/foreign-keys&gt;&lt;ref-type name="Journal Article"&gt;17&lt;/ref-type&gt;&lt;contributors&gt;&lt;authors&gt;&lt;author&gt;Sato, Tatsuhiko&lt;/author&gt;&lt;author&gt;Iwamoto, Yosuke&lt;/author&gt;&lt;author&gt;Hashimoto, Shintaro&lt;/author&gt;&lt;author&gt;Ogawa, Tatsuhiko&lt;/author&gt;&lt;author&gt;Furuta, Takuya&lt;/author&gt;&lt;author&gt;Abe, Shin-ichiro&lt;/author&gt;&lt;author&gt;Kai, Takeshi&lt;/author&gt;&lt;author&gt;Matsuya, Yusuke&lt;/author&gt;&lt;author&gt;Matsuda, Norihiro&lt;/author&gt;&lt;author&gt;Hirata, Yuho&lt;/author&gt;&lt;author&gt;Sekikawa, Takuya&lt;/author&gt;&lt;author&gt;Yao, Lan&lt;/author&gt;&lt;author&gt;Tsai, Pi-En&lt;/author&gt;&lt;author&gt;Ratliff, Hunter&lt;/author&gt;&lt;author&gt;Iwase, Hiroshi&lt;/author&gt;&lt;author&gt;Sakaki, Yasuhito&lt;/author&gt;&lt;author&gt;Sugihara, Kenta&lt;/author&gt;&lt;author&gt;Shigyo, Nobuhiro&lt;/author&gt;&lt;author&gt;Sihver, Lembit&lt;/author&gt;&lt;author&gt;Niita, Koji&lt;/author&gt;&lt;/authors&gt;&lt;/contributors&gt;&lt;titles&gt;&lt;title&gt;Recent improvements of the particle and Heavy Ion transport code system – PHITS version 3.33&lt;/title&gt;&lt;secondary-title&gt;Journal of Nuclear Science and Technology&lt;/secondary-title&gt;&lt;/titles&gt;&lt;volume&gt;61&lt;/volume&gt;&lt;dates&gt;&lt;year&gt;2023&lt;/year&gt;&lt;pub-dates&gt;&lt;date&gt;10/31&lt;/date&gt;&lt;/pub-dates&gt;&lt;/dates&gt;&lt;urls&gt;&lt;/urls&gt;&lt;electronic-resource-num&gt;10.1080/00223131.2023.2275736&lt;/electronic-resource-num&gt;&lt;/record&gt;&lt;/Cite&gt;&lt;/EndNote&gt;</w:instrText>
      </w:r>
      <w:r>
        <w:rPr>
          <w:szCs w:val="24"/>
        </w:rPr>
        <w:fldChar w:fldCharType="separate"/>
      </w:r>
      <w:r>
        <w:rPr>
          <w:noProof/>
          <w:szCs w:val="24"/>
        </w:rPr>
        <w:t>(Sato et al., 2023)</w:t>
      </w:r>
      <w:r>
        <w:rPr>
          <w:szCs w:val="24"/>
        </w:rPr>
        <w:fldChar w:fldCharType="end"/>
      </w:r>
      <w:r>
        <w:rPr>
          <w:szCs w:val="24"/>
        </w:rPr>
        <w:t xml:space="preserve"> is a general-purpose Monte Carlo radiation transport code that can simulate the behaviour of most particle species with energies up to 1 TeV (per nucleon for ions). The code is maintained by the Japan Atomic Energy Agency and is available free of charge upon request.</w:t>
      </w:r>
    </w:p>
    <w:p w14:paraId="52544BA3" w14:textId="77777777" w:rsidR="00E72CA9" w:rsidRDefault="00D516E3">
      <w:pPr>
        <w:pStyle w:val="ICRPannexparagraph"/>
        <w:ind w:left="0"/>
        <w:rPr>
          <w:szCs w:val="24"/>
        </w:rPr>
      </w:pPr>
      <w:r>
        <w:rPr>
          <w:szCs w:val="24"/>
        </w:rPr>
        <w:t xml:space="preserve">Photon transport in PHITS is performed using the Evaluated Photon Data Library 1977 Version, EPDL97 </w:t>
      </w:r>
      <w:r>
        <w:rPr>
          <w:szCs w:val="24"/>
        </w:rPr>
        <w:fldChar w:fldCharType="begin"/>
      </w:r>
      <w:r>
        <w:rPr>
          <w:szCs w:val="24"/>
        </w:rPr>
        <w:instrText xml:space="preserve"> ADDIN EN.CITE &lt;EndNote&gt;&lt;Cite&gt;&lt;Author&gt;Cullen&lt;/Author&gt;&lt;Year&gt;1997&lt;/Year&gt;&lt;RecNum&gt;3299&lt;/RecNum&gt;&lt;DisplayText&gt;(Cullen et al., 1997b)&lt;/DisplayText&gt;&lt;record&gt;&lt;rec-number&gt;3299&lt;/rec-number&gt;&lt;foreign-keys&gt;&lt;key app="EN" db-id="rss5s0wzrpx9pwe5a0h5a9wkx9sf2zexde9d" timestamp="0"&gt;3299&lt;/key&gt;&lt;/foreign-keys&gt;&lt;ref-type name="Report"&gt;27&lt;/ref-type&gt;&lt;contributors&gt;&lt;authors&gt;&lt;author&gt;Cullen, D.E.&lt;/author&gt;&lt;author&gt;Hubbell, J.H.&lt;/author&gt;&lt;author&gt;Kissel, L.&lt;/author&gt;&lt;/authors&gt;&lt;/contributors&gt;&lt;titles&gt;&lt;title&gt;EPDL97: The Evaluated Photon Data Library, &amp;apos;97 Version.UCRL-50400, 6, Rev. 5&lt;/title&gt;&lt;/titles&gt;&lt;dates&gt;&lt;year&gt;1997&lt;/year&gt;&lt;/dates&gt;&lt;publisher&gt;Lawrence Livermore National Laboratory&lt;/publisher&gt;&lt;isbn&gt;UCRL-50400 Vol. 6, Rev. 5&lt;/isbn&gt;&lt;urls&gt;&lt;/urls&gt;&lt;/record&gt;&lt;/Cite&gt;&lt;/EndNote&gt;</w:instrText>
      </w:r>
      <w:r>
        <w:rPr>
          <w:szCs w:val="24"/>
        </w:rPr>
        <w:fldChar w:fldCharType="separate"/>
      </w:r>
      <w:r>
        <w:rPr>
          <w:noProof/>
          <w:szCs w:val="24"/>
        </w:rPr>
        <w:t>(Cullen et al., 1997b)</w:t>
      </w:r>
      <w:r>
        <w:rPr>
          <w:szCs w:val="24"/>
        </w:rPr>
        <w:fldChar w:fldCharType="end"/>
      </w:r>
      <w:r>
        <w:rPr>
          <w:szCs w:val="24"/>
        </w:rPr>
        <w:t xml:space="preserve">, which includes photon interaction data for all elements from atomic number 1 to 100 with </w:t>
      </w:r>
      <w:proofErr w:type="spellStart"/>
      <w:r>
        <w:rPr>
          <w:szCs w:val="24"/>
        </w:rPr>
        <w:t>photoionisation</w:t>
      </w:r>
      <w:proofErr w:type="spellEnd"/>
      <w:r>
        <w:rPr>
          <w:szCs w:val="24"/>
        </w:rPr>
        <w:t xml:space="preserve">, photoexcitation, coherent and incoherent scattering, and pair-production cross sections, in the energy range from 1 keV to 1 GeV at default settings. In addition, the EGS5 model </w:t>
      </w:r>
      <w:r>
        <w:rPr>
          <w:szCs w:val="24"/>
        </w:rPr>
        <w:fldChar w:fldCharType="begin"/>
      </w:r>
      <w:r>
        <w:rPr>
          <w:szCs w:val="24"/>
        </w:rPr>
        <w:instrText xml:space="preserve"> ADDIN EN.CITE &lt;EndNote&gt;&lt;Cite&gt;&lt;Author&gt;Hirayama&lt;/Author&gt;&lt;Year&gt;2005&lt;/Year&gt;&lt;RecNum&gt;12499&lt;/RecNum&gt;&lt;DisplayText&gt;(Hirayama et al., 2005)&lt;/DisplayText&gt;&lt;record&gt;&lt;rec-number&gt;12499&lt;/rec-number&gt;&lt;foreign-keys&gt;&lt;key app="EN" db-id="rss5s0wzrpx9pwe5a0h5a9wkx9sf2zexde9d" timestamp="1706711204"&gt;12499&lt;/key&gt;&lt;/foreign-keys&gt;&lt;ref-type name="Report"&gt;27&lt;/ref-type&gt;&lt;contributors&gt;&lt;authors&gt;&lt;author&gt;Hirayama, Hideo&lt;/author&gt;&lt;author&gt;Namito, Yoshihito&lt;/author&gt;&lt;author&gt;Bielajew, Alex F.&lt;/author&gt;&lt;author&gt;Wilderman, Scott J.&lt;/author&gt;&lt;author&gt;Nelson, Walter R.&lt;/author&gt;&lt;/authors&gt;&lt;/contributors&gt;&lt;titles&gt;&lt;title&gt;The EGS5 code system. SLAC-R-730 and KEK Report 2005-8.&lt;/title&gt;&lt;/titles&gt;&lt;pages&gt;432&lt;/pages&gt;&lt;number&gt;KEK--2005-8&lt;/number&gt;&lt;dates&gt;&lt;year&gt;2005&lt;/year&gt;&lt;/dates&gt;&lt;pub-location&gt;Japan&lt;/pub-location&gt;&lt;urls&gt;&lt;related-urls&gt;&lt;url&gt;http://inis.iaea.org/search/search.aspx?orig_q=RN:38045743&lt;/url&gt;&lt;/related-urls&gt;&lt;/urls&gt;&lt;/record&gt;&lt;/Cite&gt;&lt;/EndNote&gt;</w:instrText>
      </w:r>
      <w:r>
        <w:rPr>
          <w:szCs w:val="24"/>
        </w:rPr>
        <w:fldChar w:fldCharType="separate"/>
      </w:r>
      <w:r>
        <w:rPr>
          <w:noProof/>
          <w:szCs w:val="24"/>
        </w:rPr>
        <w:t>(Hirayama et al., 2005)</w:t>
      </w:r>
      <w:r>
        <w:rPr>
          <w:szCs w:val="24"/>
        </w:rPr>
        <w:fldChar w:fldCharType="end"/>
      </w:r>
      <w:r>
        <w:rPr>
          <w:szCs w:val="24"/>
        </w:rPr>
        <w:t xml:space="preserve"> is recommended  to be used for the simulation that transports both photons and electrons.</w:t>
      </w:r>
    </w:p>
    <w:p w14:paraId="06E6860F" w14:textId="77777777" w:rsidR="00E72CA9" w:rsidRDefault="00D516E3">
      <w:pPr>
        <w:pStyle w:val="ICRPannexparagraph"/>
        <w:ind w:left="0"/>
        <w:rPr>
          <w:szCs w:val="24"/>
        </w:rPr>
      </w:pPr>
      <w:r>
        <w:rPr>
          <w:szCs w:val="24"/>
        </w:rPr>
        <w:t>To compute active-marrow and endosteum doses at each bone component using DRF and DEF, a calculation of photon fluence at each site is required. The ICRP reference phantom defines bone components with their volume and elemental composition, and PHITS reads this information with unique IDs for the regions and materials, which are referred to as cell ID and material ID, respectively. PHITS subsequently implements photon-transport simulation and calculates the photon fluence at each site designated by the cell ID using a track length estimator.</w:t>
      </w:r>
    </w:p>
    <w:p w14:paraId="54B198C2" w14:textId="77777777" w:rsidR="00E72CA9" w:rsidRDefault="00D516E3">
      <w:pPr>
        <w:pStyle w:val="ICRPannexparagraph"/>
        <w:ind w:left="0"/>
        <w:rPr>
          <w:szCs w:val="24"/>
        </w:rPr>
      </w:pPr>
      <w:r>
        <w:rPr>
          <w:szCs w:val="24"/>
        </w:rPr>
        <w:t>The track length estimator is defined at ‘[T-track]’ section in the PHITS input. Within a single ‘[T-track]’ section, multiple evaluation cites can be specified using cell IDs. The energy bins for scoring of the photons are also set in this section. If the parameter ‘unit’ is set to 2, photon fluence is selected as an output in units of photons MeV</w:t>
      </w:r>
      <w:r>
        <w:rPr>
          <w:szCs w:val="24"/>
          <w:vertAlign w:val="superscript"/>
        </w:rPr>
        <w:t>−1</w:t>
      </w:r>
      <w:r>
        <w:rPr>
          <w:szCs w:val="24"/>
        </w:rPr>
        <w:t xml:space="preserve"> cm</w:t>
      </w:r>
      <w:r>
        <w:rPr>
          <w:szCs w:val="24"/>
          <w:vertAlign w:val="superscript"/>
        </w:rPr>
        <w:t>−2</w:t>
      </w:r>
      <w:r>
        <w:rPr>
          <w:szCs w:val="24"/>
        </w:rPr>
        <w:t xml:space="preserve"> source</w:t>
      </w:r>
      <w:r>
        <w:rPr>
          <w:szCs w:val="24"/>
          <w:vertAlign w:val="superscript"/>
        </w:rPr>
        <w:t>−1</w:t>
      </w:r>
      <w:r>
        <w:rPr>
          <w:szCs w:val="24"/>
        </w:rPr>
        <w:t xml:space="preserve">, which can be then used as the photon fluence </w:t>
      </w:r>
      <w:r>
        <w:rPr>
          <w:i/>
          <w:iCs/>
        </w:rPr>
        <w:t>Φ</w:t>
      </w:r>
      <w:r>
        <w:rPr>
          <w:i/>
          <w:iCs/>
          <w:vertAlign w:val="subscript"/>
        </w:rPr>
        <w:t>E</w:t>
      </w:r>
      <w:r>
        <w:rPr>
          <w:szCs w:val="24"/>
        </w:rPr>
        <w:t xml:space="preserve"> in </w:t>
      </w:r>
      <w:proofErr w:type="spellStart"/>
      <w:r>
        <w:rPr>
          <w:szCs w:val="24"/>
        </w:rPr>
        <w:t>Eqs</w:t>
      </w:r>
      <w:proofErr w:type="spellEnd"/>
      <w:r>
        <w:rPr>
          <w:szCs w:val="24"/>
        </w:rPr>
        <w:t xml:space="preserve"> C.7–C.10 given above. The fluence is then used to compute the active marrow and endosteum doses via post-processing. The post-processing method has the advantage that, in case of eventual future revisions of the DRF an d </w:t>
      </w:r>
      <w:r>
        <w:rPr>
          <w:szCs w:val="24"/>
        </w:rPr>
        <w:lastRenderedPageBreak/>
        <w:t>DEF values, the skeletal doses could be re-evaluated, using the photon fluence without recalculation by a Monte Carlo simulation.</w:t>
      </w:r>
    </w:p>
    <w:p w14:paraId="3C3E23DE" w14:textId="77777777" w:rsidR="00E72CA9" w:rsidRDefault="00D516E3">
      <w:pPr>
        <w:pStyle w:val="ICRPannexparagraph"/>
        <w:ind w:left="0"/>
        <w:rPr>
          <w:szCs w:val="24"/>
        </w:rPr>
      </w:pPr>
      <w:r>
        <w:rPr>
          <w:szCs w:val="24"/>
        </w:rPr>
        <w:t>In addition, PHITS has the ability to calculate active marrow and endosteum doses on-the-fly. The advantage of the on-the-fly processing is that the photon energy is precisely known with no information lost due to energy binning. The values of DRF and DEF as a function of photon energy are given for each material specified by material ID in ‘[Multiplier]’ section of the PHITS input. The method used to interpolate between data points, such as log-log or linear-linear interpolation, is also described in this section. These multiplier data are called by the multiplier subsection in the ‘[T-track]’ Section, and the photons scored by the track length estimator are multiplied by a factor corresponding to their energy.</w:t>
      </w:r>
    </w:p>
    <w:p w14:paraId="36F2C9E0" w14:textId="77777777" w:rsidR="00E72CA9" w:rsidRDefault="00D516E3">
      <w:pPr>
        <w:pStyle w:val="ICRPannexparagraph"/>
        <w:ind w:left="0"/>
        <w:rPr>
          <w:szCs w:val="24"/>
        </w:rPr>
      </w:pPr>
      <w:r>
        <w:rPr>
          <w:szCs w:val="24"/>
        </w:rPr>
        <w:t>By using the on-the-fly processing feature of PHITS and setting the photon-fluence unit to photons cm</w:t>
      </w:r>
      <w:r>
        <w:rPr>
          <w:szCs w:val="24"/>
          <w:vertAlign w:val="superscript"/>
        </w:rPr>
        <w:t xml:space="preserve">−2 </w:t>
      </w:r>
      <w:r>
        <w:rPr>
          <w:szCs w:val="24"/>
        </w:rPr>
        <w:t>source</w:t>
      </w:r>
      <w:r>
        <w:rPr>
          <w:szCs w:val="24"/>
          <w:vertAlign w:val="superscript"/>
        </w:rPr>
        <w:t>−1</w:t>
      </w:r>
      <w:r>
        <w:rPr>
          <w:szCs w:val="24"/>
        </w:rPr>
        <w:t xml:space="preserve"> without energy binning in the ‘[T-track]’ Section, the track length estimator directly evaluates the doses at the bone sites in units of Gy. The total active marrow and endosteum doses for the whole skeleton can then be obtained via post-processing by summing the doses at each site, considering the weight fraction of the active marrow and endosteum. </w:t>
      </w:r>
    </w:p>
    <w:p w14:paraId="1B376221" w14:textId="77777777" w:rsidR="00E72CA9" w:rsidRDefault="00D516E3">
      <w:pPr>
        <w:pStyle w:val="ICRPannexheading3"/>
        <w:ind w:left="720"/>
      </w:pPr>
      <w:r>
        <w:t>GEANT4</w:t>
      </w:r>
    </w:p>
    <w:p w14:paraId="36BC57F7" w14:textId="77777777" w:rsidR="00E72CA9" w:rsidRDefault="00D516E3">
      <w:pPr>
        <w:pStyle w:val="ICRPannexparagraph"/>
        <w:ind w:left="0"/>
        <w:rPr>
          <w:rFonts w:eastAsiaTheme="minorEastAsia"/>
          <w:lang w:eastAsia="ko-KR"/>
        </w:rPr>
      </w:pPr>
      <w:r>
        <w:rPr>
          <w:rFonts w:eastAsiaTheme="minorEastAsia" w:hint="eastAsia"/>
        </w:rPr>
        <w:t>While</w:t>
      </w:r>
      <w:r>
        <w:rPr>
          <w:rFonts w:eastAsiaTheme="minorEastAsia"/>
        </w:rPr>
        <w:t xml:space="preserve"> </w:t>
      </w:r>
      <w:r>
        <w:rPr>
          <w:rFonts w:eastAsiaTheme="minorEastAsia" w:hint="eastAsia"/>
        </w:rPr>
        <w:t>the</w:t>
      </w:r>
      <w:r>
        <w:rPr>
          <w:rFonts w:eastAsiaTheme="minorEastAsia"/>
        </w:rPr>
        <w:t xml:space="preserve"> </w:t>
      </w:r>
      <w:r>
        <w:rPr>
          <w:rFonts w:eastAsiaTheme="minorEastAsia" w:hint="eastAsia"/>
        </w:rPr>
        <w:t>MCNP</w:t>
      </w:r>
      <w:r>
        <w:rPr>
          <w:rFonts w:eastAsiaTheme="minorEastAsia"/>
        </w:rPr>
        <w:t xml:space="preserve"> </w:t>
      </w:r>
      <w:r>
        <w:rPr>
          <w:rFonts w:eastAsiaTheme="minorEastAsia" w:hint="eastAsia"/>
        </w:rPr>
        <w:t>and</w:t>
      </w:r>
      <w:r>
        <w:rPr>
          <w:rFonts w:eastAsiaTheme="minorEastAsia"/>
        </w:rPr>
        <w:t xml:space="preserve"> </w:t>
      </w:r>
      <w:r>
        <w:rPr>
          <w:rFonts w:eastAsiaTheme="minorEastAsia" w:hint="eastAsia"/>
        </w:rPr>
        <w:t>PHITS</w:t>
      </w:r>
      <w:r>
        <w:rPr>
          <w:rFonts w:eastAsiaTheme="minorEastAsia"/>
        </w:rPr>
        <w:t xml:space="preserve"> </w:t>
      </w:r>
      <w:r>
        <w:rPr>
          <w:rFonts w:eastAsiaTheme="minorEastAsia" w:hint="eastAsia"/>
        </w:rPr>
        <w:t>codes</w:t>
      </w:r>
      <w:r>
        <w:rPr>
          <w:rFonts w:eastAsiaTheme="minorEastAsia"/>
        </w:rPr>
        <w:t xml:space="preserve"> </w:t>
      </w:r>
      <w:r>
        <w:rPr>
          <w:rFonts w:eastAsiaTheme="minorEastAsia" w:hint="eastAsia"/>
        </w:rPr>
        <w:t>provide</w:t>
      </w:r>
      <w:r>
        <w:rPr>
          <w:rFonts w:eastAsiaTheme="minorEastAsia"/>
        </w:rPr>
        <w:t xml:space="preserve"> </w:t>
      </w:r>
      <w:r>
        <w:rPr>
          <w:rFonts w:eastAsiaTheme="minorEastAsia" w:hint="eastAsia"/>
        </w:rPr>
        <w:t>specific</w:t>
      </w:r>
      <w:r>
        <w:rPr>
          <w:rFonts w:eastAsiaTheme="minorEastAsia"/>
        </w:rPr>
        <w:t xml:space="preserve"> </w:t>
      </w:r>
      <w:r>
        <w:rPr>
          <w:rFonts w:eastAsiaTheme="minorEastAsia" w:hint="eastAsia"/>
        </w:rPr>
        <w:t>functions</w:t>
      </w:r>
      <w:r>
        <w:rPr>
          <w:rFonts w:eastAsiaTheme="minorEastAsia"/>
        </w:rPr>
        <w:t xml:space="preserve"> </w:t>
      </w:r>
      <w:r>
        <w:rPr>
          <w:rFonts w:eastAsiaTheme="minorEastAsia" w:hint="eastAsia"/>
        </w:rPr>
        <w:t>(e.g.</w:t>
      </w:r>
      <w:r>
        <w:rPr>
          <w:rFonts w:eastAsiaTheme="minorEastAsia"/>
        </w:rPr>
        <w:t xml:space="preserve"> </w:t>
      </w:r>
      <w:r>
        <w:rPr>
          <w:rFonts w:eastAsiaTheme="minorEastAsia" w:hint="eastAsia"/>
        </w:rPr>
        <w:t>DE/DF</w:t>
      </w:r>
      <w:r>
        <w:rPr>
          <w:rFonts w:eastAsiaTheme="minorEastAsia"/>
        </w:rPr>
        <w:t xml:space="preserve"> cards </w:t>
      </w:r>
      <w:r>
        <w:rPr>
          <w:rFonts w:eastAsiaTheme="minorEastAsia" w:hint="eastAsia"/>
        </w:rPr>
        <w:t>in</w:t>
      </w:r>
      <w:r>
        <w:rPr>
          <w:rFonts w:eastAsiaTheme="minorEastAsia"/>
        </w:rPr>
        <w:t xml:space="preserve"> </w:t>
      </w:r>
      <w:r>
        <w:rPr>
          <w:rFonts w:eastAsiaTheme="minorEastAsia" w:hint="eastAsia"/>
        </w:rPr>
        <w:t>MCNP</w:t>
      </w:r>
      <w:r>
        <w:rPr>
          <w:rFonts w:eastAsiaTheme="minorEastAsia"/>
        </w:rPr>
        <w:t xml:space="preserve"> </w:t>
      </w:r>
      <w:r>
        <w:rPr>
          <w:rFonts w:eastAsiaTheme="minorEastAsia" w:hint="eastAsia"/>
        </w:rPr>
        <w:t>and</w:t>
      </w:r>
      <w:r>
        <w:rPr>
          <w:rFonts w:eastAsiaTheme="minorEastAsia"/>
        </w:rPr>
        <w:t xml:space="preserve"> </w:t>
      </w:r>
      <w:r>
        <w:rPr>
          <w:rFonts w:eastAsiaTheme="minorEastAsia" w:hint="eastAsia"/>
        </w:rPr>
        <w:t>Multiplier</w:t>
      </w:r>
      <w:r>
        <w:rPr>
          <w:rFonts w:eastAsiaTheme="minorEastAsia"/>
        </w:rPr>
        <w:t xml:space="preserve"> </w:t>
      </w:r>
      <w:r>
        <w:rPr>
          <w:rFonts w:eastAsiaTheme="minorEastAsia" w:hint="eastAsia"/>
        </w:rPr>
        <w:t>in</w:t>
      </w:r>
      <w:r>
        <w:rPr>
          <w:rFonts w:eastAsiaTheme="minorEastAsia"/>
        </w:rPr>
        <w:t xml:space="preserve"> </w:t>
      </w:r>
      <w:r>
        <w:rPr>
          <w:rFonts w:eastAsiaTheme="minorEastAsia" w:hint="eastAsia"/>
        </w:rPr>
        <w:t>PHITS)</w:t>
      </w:r>
      <w:r>
        <w:rPr>
          <w:rFonts w:eastAsiaTheme="minorEastAsia"/>
        </w:rPr>
        <w:t xml:space="preserve"> </w:t>
      </w:r>
      <w:r>
        <w:rPr>
          <w:rFonts w:eastAsiaTheme="minorEastAsia" w:hint="eastAsia"/>
        </w:rPr>
        <w:t>that</w:t>
      </w:r>
      <w:r>
        <w:rPr>
          <w:rFonts w:eastAsiaTheme="minorEastAsia"/>
        </w:rPr>
        <w:t xml:space="preserve"> </w:t>
      </w:r>
      <w:r>
        <w:rPr>
          <w:rFonts w:eastAsiaTheme="minorEastAsia" w:hint="eastAsia"/>
        </w:rPr>
        <w:t>can</w:t>
      </w:r>
      <w:r>
        <w:rPr>
          <w:rFonts w:eastAsiaTheme="minorEastAsia"/>
        </w:rPr>
        <w:t xml:space="preserve"> </w:t>
      </w:r>
      <w:r>
        <w:rPr>
          <w:rFonts w:eastAsiaTheme="minorEastAsia" w:hint="eastAsia"/>
        </w:rPr>
        <w:t>implement</w:t>
      </w:r>
      <w:r>
        <w:rPr>
          <w:rFonts w:eastAsiaTheme="minorEastAsia"/>
        </w:rPr>
        <w:t xml:space="preserve"> </w:t>
      </w:r>
      <w:r>
        <w:rPr>
          <w:rFonts w:eastAsiaTheme="minorEastAsia" w:hint="eastAsia"/>
        </w:rPr>
        <w:t>the</w:t>
      </w:r>
      <w:r>
        <w:rPr>
          <w:rFonts w:eastAsiaTheme="minorEastAsia"/>
        </w:rPr>
        <w:t xml:space="preserve"> </w:t>
      </w:r>
      <w:r>
        <w:rPr>
          <w:rFonts w:eastAsiaTheme="minorEastAsia" w:hint="eastAsia"/>
        </w:rPr>
        <w:t>DRF</w:t>
      </w:r>
      <w:r>
        <w:rPr>
          <w:rFonts w:eastAsiaTheme="minorEastAsia"/>
        </w:rPr>
        <w:t xml:space="preserve"> </w:t>
      </w:r>
      <w:r>
        <w:rPr>
          <w:rFonts w:eastAsiaTheme="minorEastAsia" w:hint="eastAsia"/>
        </w:rPr>
        <w:t>on</w:t>
      </w:r>
      <w:r>
        <w:rPr>
          <w:rFonts w:eastAsiaTheme="minorEastAsia"/>
        </w:rPr>
        <w:t>-</w:t>
      </w:r>
      <w:r>
        <w:rPr>
          <w:rFonts w:eastAsiaTheme="minorEastAsia" w:hint="eastAsia"/>
        </w:rPr>
        <w:t>the-fly</w:t>
      </w:r>
      <w:r>
        <w:rPr>
          <w:rFonts w:eastAsiaTheme="minorEastAsia"/>
        </w:rPr>
        <w:t xml:space="preserve"> </w:t>
      </w:r>
      <w:r>
        <w:rPr>
          <w:rFonts w:eastAsiaTheme="minorEastAsia" w:hint="eastAsia"/>
        </w:rPr>
        <w:t>calculations combined</w:t>
      </w:r>
      <w:r>
        <w:rPr>
          <w:rFonts w:eastAsiaTheme="minorEastAsia"/>
        </w:rPr>
        <w:t xml:space="preserve"> </w:t>
      </w:r>
      <w:r>
        <w:rPr>
          <w:rFonts w:eastAsiaTheme="minorEastAsia" w:hint="eastAsia"/>
        </w:rPr>
        <w:t>with</w:t>
      </w:r>
      <w:r>
        <w:rPr>
          <w:rFonts w:eastAsiaTheme="minorEastAsia"/>
        </w:rPr>
        <w:t xml:space="preserve"> </w:t>
      </w:r>
      <w:r>
        <w:rPr>
          <w:rFonts w:eastAsiaTheme="minorEastAsia" w:hint="eastAsia"/>
        </w:rPr>
        <w:t>the</w:t>
      </w:r>
      <w:r>
        <w:rPr>
          <w:rFonts w:eastAsiaTheme="minorEastAsia"/>
        </w:rPr>
        <w:t xml:space="preserve"> respective </w:t>
      </w:r>
      <w:r>
        <w:rPr>
          <w:rFonts w:eastAsiaTheme="minorEastAsia" w:hint="eastAsia"/>
        </w:rPr>
        <w:t>track</w:t>
      </w:r>
      <w:r>
        <w:rPr>
          <w:rFonts w:eastAsiaTheme="minorEastAsia"/>
        </w:rPr>
        <w:t xml:space="preserve"> </w:t>
      </w:r>
      <w:r>
        <w:rPr>
          <w:rFonts w:eastAsiaTheme="minorEastAsia" w:hint="eastAsia"/>
        </w:rPr>
        <w:t>length</w:t>
      </w:r>
      <w:r>
        <w:rPr>
          <w:rFonts w:eastAsiaTheme="minorEastAsia"/>
        </w:rPr>
        <w:t xml:space="preserve"> </w:t>
      </w:r>
      <w:r>
        <w:rPr>
          <w:rFonts w:eastAsiaTheme="minorEastAsia" w:hint="eastAsia"/>
        </w:rPr>
        <w:t>estimators</w:t>
      </w:r>
      <w:r>
        <w:rPr>
          <w:rFonts w:eastAsiaTheme="minorEastAsia"/>
        </w:rPr>
        <w:t xml:space="preserve"> </w:t>
      </w:r>
      <w:r>
        <w:rPr>
          <w:rFonts w:eastAsiaTheme="minorEastAsia" w:hint="eastAsia"/>
        </w:rPr>
        <w:t>(e.g.</w:t>
      </w:r>
      <w:r>
        <w:rPr>
          <w:rFonts w:eastAsiaTheme="minorEastAsia"/>
        </w:rPr>
        <w:t xml:space="preserve"> ‘</w:t>
      </w:r>
      <w:r>
        <w:rPr>
          <w:rFonts w:eastAsiaTheme="minorEastAsia" w:hint="eastAsia"/>
        </w:rPr>
        <w:t>F4</w:t>
      </w:r>
      <w:r>
        <w:rPr>
          <w:rFonts w:eastAsiaTheme="minorEastAsia"/>
        </w:rPr>
        <w:t xml:space="preserve">’ </w:t>
      </w:r>
      <w:r>
        <w:rPr>
          <w:rFonts w:eastAsiaTheme="minorEastAsia" w:hint="eastAsia"/>
        </w:rPr>
        <w:t>tally</w:t>
      </w:r>
      <w:r>
        <w:rPr>
          <w:rFonts w:eastAsiaTheme="minorEastAsia"/>
        </w:rPr>
        <w:t xml:space="preserve"> </w:t>
      </w:r>
      <w:r>
        <w:rPr>
          <w:rFonts w:eastAsiaTheme="minorEastAsia" w:hint="eastAsia"/>
        </w:rPr>
        <w:t>in</w:t>
      </w:r>
      <w:r>
        <w:rPr>
          <w:rFonts w:eastAsiaTheme="minorEastAsia"/>
        </w:rPr>
        <w:t xml:space="preserve"> </w:t>
      </w:r>
      <w:r>
        <w:rPr>
          <w:rFonts w:eastAsiaTheme="minorEastAsia" w:hint="eastAsia"/>
        </w:rPr>
        <w:t>MCNP</w:t>
      </w:r>
      <w:r>
        <w:rPr>
          <w:rFonts w:eastAsiaTheme="minorEastAsia"/>
        </w:rPr>
        <w:t xml:space="preserve"> </w:t>
      </w:r>
      <w:r>
        <w:rPr>
          <w:rFonts w:eastAsiaTheme="minorEastAsia" w:hint="eastAsia"/>
        </w:rPr>
        <w:t>and</w:t>
      </w:r>
      <w:r>
        <w:rPr>
          <w:rFonts w:eastAsiaTheme="minorEastAsia"/>
        </w:rPr>
        <w:t xml:space="preserve"> ‘[</w:t>
      </w:r>
      <w:r>
        <w:rPr>
          <w:rFonts w:eastAsiaTheme="minorEastAsia" w:hint="eastAsia"/>
        </w:rPr>
        <w:t>T-track</w:t>
      </w:r>
      <w:r>
        <w:rPr>
          <w:rFonts w:eastAsiaTheme="minorEastAsia"/>
        </w:rPr>
        <w:t xml:space="preserve">]’ </w:t>
      </w:r>
      <w:r>
        <w:rPr>
          <w:rFonts w:eastAsiaTheme="minorEastAsia" w:hint="eastAsia"/>
        </w:rPr>
        <w:t>in</w:t>
      </w:r>
      <w:r>
        <w:rPr>
          <w:rFonts w:eastAsiaTheme="minorEastAsia"/>
        </w:rPr>
        <w:t xml:space="preserve"> </w:t>
      </w:r>
      <w:r>
        <w:rPr>
          <w:rFonts w:eastAsiaTheme="minorEastAsia" w:hint="eastAsia"/>
        </w:rPr>
        <w:t>PHITS),</w:t>
      </w:r>
      <w:r>
        <w:rPr>
          <w:rFonts w:eastAsiaTheme="minorEastAsia"/>
        </w:rPr>
        <w:t xml:space="preserve"> </w:t>
      </w:r>
      <w:r>
        <w:rPr>
          <w:rFonts w:eastAsiaTheme="minorEastAsia" w:hint="eastAsia"/>
        </w:rPr>
        <w:t>specific</w:t>
      </w:r>
      <w:r>
        <w:rPr>
          <w:rFonts w:eastAsiaTheme="minorEastAsia"/>
        </w:rPr>
        <w:t xml:space="preserve"> </w:t>
      </w:r>
      <w:r>
        <w:rPr>
          <w:rFonts w:eastAsiaTheme="minorEastAsia" w:hint="eastAsia"/>
        </w:rPr>
        <w:t>functions</w:t>
      </w:r>
      <w:r>
        <w:rPr>
          <w:rFonts w:eastAsiaTheme="minorEastAsia"/>
        </w:rPr>
        <w:t xml:space="preserve"> </w:t>
      </w:r>
      <w:r>
        <w:rPr>
          <w:rFonts w:eastAsiaTheme="minorEastAsia" w:hint="eastAsia"/>
        </w:rPr>
        <w:t>for</w:t>
      </w:r>
      <w:r>
        <w:rPr>
          <w:rFonts w:eastAsiaTheme="minorEastAsia"/>
        </w:rPr>
        <w:t xml:space="preserve"> </w:t>
      </w:r>
      <w:r>
        <w:rPr>
          <w:rFonts w:eastAsiaTheme="minorEastAsia" w:hint="eastAsia"/>
        </w:rPr>
        <w:t>DRF</w:t>
      </w:r>
      <w:r>
        <w:rPr>
          <w:rFonts w:eastAsiaTheme="minorEastAsia"/>
        </w:rPr>
        <w:t xml:space="preserve"> </w:t>
      </w:r>
      <w:r>
        <w:rPr>
          <w:rFonts w:eastAsiaTheme="minorEastAsia" w:hint="eastAsia"/>
        </w:rPr>
        <w:t>imple</w:t>
      </w:r>
      <w:r>
        <w:rPr>
          <w:rFonts w:eastAsiaTheme="minorEastAsia"/>
        </w:rPr>
        <w:t>me</w:t>
      </w:r>
      <w:r>
        <w:rPr>
          <w:rFonts w:eastAsiaTheme="minorEastAsia" w:hint="eastAsia"/>
        </w:rPr>
        <w:t>ntation</w:t>
      </w:r>
      <w:r>
        <w:rPr>
          <w:rFonts w:eastAsiaTheme="minorEastAsia"/>
        </w:rPr>
        <w:t xml:space="preserve"> </w:t>
      </w:r>
      <w:r>
        <w:rPr>
          <w:rFonts w:eastAsiaTheme="minorEastAsia" w:hint="eastAsia"/>
        </w:rPr>
        <w:t>are</w:t>
      </w:r>
      <w:r>
        <w:rPr>
          <w:rFonts w:eastAsiaTheme="minorEastAsia"/>
        </w:rPr>
        <w:t xml:space="preserve"> </w:t>
      </w:r>
      <w:r>
        <w:rPr>
          <w:rFonts w:eastAsiaTheme="minorEastAsia" w:hint="eastAsia"/>
        </w:rPr>
        <w:t>not</w:t>
      </w:r>
      <w:r>
        <w:rPr>
          <w:rFonts w:eastAsiaTheme="minorEastAsia"/>
        </w:rPr>
        <w:t xml:space="preserve"> </w:t>
      </w:r>
      <w:r>
        <w:rPr>
          <w:rFonts w:eastAsiaTheme="minorEastAsia" w:hint="eastAsia"/>
        </w:rPr>
        <w:t>provided</w:t>
      </w:r>
      <w:r>
        <w:rPr>
          <w:rFonts w:eastAsiaTheme="minorEastAsia"/>
        </w:rPr>
        <w:t xml:space="preserve"> </w:t>
      </w:r>
      <w:r>
        <w:rPr>
          <w:rFonts w:eastAsiaTheme="minorEastAsia" w:hint="eastAsia"/>
        </w:rPr>
        <w:t>in</w:t>
      </w:r>
      <w:r>
        <w:rPr>
          <w:rFonts w:eastAsiaTheme="minorEastAsia"/>
        </w:rPr>
        <w:t xml:space="preserve"> </w:t>
      </w:r>
      <w:r>
        <w:rPr>
          <w:rFonts w:eastAsiaTheme="minorEastAsia" w:hint="eastAsia"/>
        </w:rPr>
        <w:t>t</w:t>
      </w:r>
      <w:r>
        <w:rPr>
          <w:rFonts w:eastAsiaTheme="minorEastAsia"/>
        </w:rPr>
        <w:t xml:space="preserve">he Geant4 </w:t>
      </w:r>
      <w:r>
        <w:rPr>
          <w:rFonts w:eastAsiaTheme="minorEastAsia" w:hint="eastAsia"/>
        </w:rPr>
        <w:t>code.</w:t>
      </w:r>
      <w:r>
        <w:rPr>
          <w:rFonts w:eastAsiaTheme="minorEastAsia"/>
        </w:rPr>
        <w:t xml:space="preserve"> </w:t>
      </w:r>
      <w:r>
        <w:rPr>
          <w:rFonts w:eastAsiaTheme="minorEastAsia" w:hint="eastAsia"/>
        </w:rPr>
        <w:t>Geant4</w:t>
      </w:r>
      <w:r>
        <w:rPr>
          <w:rFonts w:eastAsiaTheme="minorEastAsia"/>
        </w:rPr>
        <w:t xml:space="preserve"> </w:t>
      </w:r>
      <w:r>
        <w:rPr>
          <w:rFonts w:eastAsiaTheme="minorEastAsia" w:hint="eastAsia"/>
        </w:rPr>
        <w:t>users</w:t>
      </w:r>
      <w:r>
        <w:rPr>
          <w:rFonts w:eastAsiaTheme="minorEastAsia"/>
        </w:rPr>
        <w:t xml:space="preserve"> </w:t>
      </w:r>
      <w:r>
        <w:t>should</w:t>
      </w:r>
      <w:r>
        <w:rPr>
          <w:rFonts w:eastAsiaTheme="minorEastAsia"/>
        </w:rPr>
        <w:t xml:space="preserve"> therefore, </w:t>
      </w:r>
      <w:r>
        <w:rPr>
          <w:rFonts w:eastAsiaTheme="minorEastAsia" w:hint="eastAsia"/>
        </w:rPr>
        <w:t>develop</w:t>
      </w:r>
      <w:r>
        <w:rPr>
          <w:rFonts w:eastAsiaTheme="minorEastAsia"/>
        </w:rPr>
        <w:t xml:space="preserve"> </w:t>
      </w:r>
      <w:r>
        <w:rPr>
          <w:rFonts w:eastAsiaTheme="minorEastAsia" w:hint="eastAsia"/>
        </w:rPr>
        <w:t>their</w:t>
      </w:r>
      <w:r>
        <w:rPr>
          <w:rFonts w:eastAsiaTheme="minorEastAsia"/>
        </w:rPr>
        <w:t xml:space="preserve"> </w:t>
      </w:r>
      <w:r>
        <w:rPr>
          <w:rFonts w:eastAsiaTheme="minorEastAsia" w:hint="eastAsia"/>
        </w:rPr>
        <w:t>own</w:t>
      </w:r>
      <w:r>
        <w:rPr>
          <w:rFonts w:eastAsiaTheme="minorEastAsia"/>
        </w:rPr>
        <w:t xml:space="preserve"> </w:t>
      </w:r>
      <w:r>
        <w:rPr>
          <w:rFonts w:eastAsiaTheme="minorEastAsia" w:hint="eastAsia"/>
        </w:rPr>
        <w:t>functions</w:t>
      </w:r>
      <w:r>
        <w:rPr>
          <w:rFonts w:eastAsiaTheme="minorEastAsia"/>
        </w:rPr>
        <w:t xml:space="preserve">. </w:t>
      </w:r>
      <w:r>
        <w:rPr>
          <w:rFonts w:eastAsiaTheme="minorEastAsia" w:hint="eastAsia"/>
        </w:rPr>
        <w:t>As</w:t>
      </w:r>
      <w:r>
        <w:rPr>
          <w:rFonts w:eastAsiaTheme="minorEastAsia"/>
        </w:rPr>
        <w:t xml:space="preserve"> </w:t>
      </w:r>
      <w:r>
        <w:rPr>
          <w:rFonts w:eastAsiaTheme="minorEastAsia" w:hint="eastAsia"/>
        </w:rPr>
        <w:t>an</w:t>
      </w:r>
      <w:r>
        <w:rPr>
          <w:rFonts w:eastAsiaTheme="minorEastAsia"/>
        </w:rPr>
        <w:t xml:space="preserve"> </w:t>
      </w:r>
      <w:r>
        <w:rPr>
          <w:rFonts w:eastAsiaTheme="minorEastAsia" w:hint="eastAsia"/>
        </w:rPr>
        <w:t>example,</w:t>
      </w:r>
      <w:r>
        <w:rPr>
          <w:rFonts w:eastAsiaTheme="minorEastAsia"/>
        </w:rPr>
        <w:t xml:space="preserve"> </w:t>
      </w:r>
      <w:r>
        <w:rPr>
          <w:rFonts w:eastAsiaTheme="minorEastAsia" w:hint="eastAsia"/>
        </w:rPr>
        <w:t>the</w:t>
      </w:r>
      <w:r>
        <w:rPr>
          <w:rFonts w:eastAsiaTheme="minorEastAsia"/>
        </w:rPr>
        <w:t xml:space="preserve"> </w:t>
      </w:r>
      <w:r>
        <w:rPr>
          <w:rFonts w:eastAsiaTheme="minorEastAsia" w:hint="eastAsia"/>
        </w:rPr>
        <w:t>approach</w:t>
      </w:r>
      <w:r>
        <w:rPr>
          <w:rFonts w:eastAsiaTheme="minorEastAsia"/>
        </w:rPr>
        <w:t xml:space="preserve"> </w:t>
      </w:r>
      <w:r>
        <w:rPr>
          <w:rFonts w:eastAsiaTheme="minorEastAsia" w:hint="eastAsia"/>
        </w:rPr>
        <w:t>used</w:t>
      </w:r>
      <w:r>
        <w:rPr>
          <w:rFonts w:eastAsiaTheme="minorEastAsia"/>
        </w:rPr>
        <w:t xml:space="preserve"> for the </w:t>
      </w:r>
      <w:r>
        <w:rPr>
          <w:rFonts w:eastAsiaTheme="minorEastAsia" w:hint="eastAsia"/>
        </w:rPr>
        <w:t>implement</w:t>
      </w:r>
      <w:r>
        <w:rPr>
          <w:rFonts w:eastAsiaTheme="minorEastAsia"/>
        </w:rPr>
        <w:t xml:space="preserve">ation of </w:t>
      </w:r>
      <w:r>
        <w:rPr>
          <w:rFonts w:eastAsiaTheme="minorEastAsia" w:hint="eastAsia"/>
        </w:rPr>
        <w:t>DRF</w:t>
      </w:r>
      <w:r>
        <w:rPr>
          <w:rFonts w:eastAsiaTheme="minorEastAsia"/>
        </w:rPr>
        <w:t xml:space="preserve"> </w:t>
      </w:r>
      <w:r>
        <w:rPr>
          <w:rFonts w:eastAsiaTheme="minorEastAsia" w:hint="eastAsia"/>
        </w:rPr>
        <w:t>in</w:t>
      </w:r>
      <w:r>
        <w:rPr>
          <w:rFonts w:eastAsiaTheme="minorEastAsia"/>
        </w:rPr>
        <w:t xml:space="preserve"> </w:t>
      </w:r>
      <w:r>
        <w:rPr>
          <w:rFonts w:eastAsiaTheme="minorEastAsia" w:hint="eastAsia"/>
        </w:rPr>
        <w:t>the</w:t>
      </w:r>
      <w:r>
        <w:rPr>
          <w:rFonts w:eastAsiaTheme="minorEastAsia"/>
        </w:rPr>
        <w:t xml:space="preserve"> </w:t>
      </w:r>
      <w:r>
        <w:rPr>
          <w:rFonts w:eastAsiaTheme="minorEastAsia" w:hint="eastAsia"/>
        </w:rPr>
        <w:t>Geant4</w:t>
      </w:r>
      <w:r>
        <w:rPr>
          <w:rFonts w:eastAsiaTheme="minorEastAsia"/>
        </w:rPr>
        <w:t xml:space="preserve"> </w:t>
      </w:r>
      <w:r>
        <w:rPr>
          <w:rFonts w:eastAsiaTheme="minorEastAsia" w:hint="eastAsia"/>
        </w:rPr>
        <w:t>code</w:t>
      </w:r>
      <w:r>
        <w:rPr>
          <w:rFonts w:eastAsiaTheme="minorEastAsia"/>
        </w:rPr>
        <w:t xml:space="preserve"> </w:t>
      </w:r>
      <w:r>
        <w:rPr>
          <w:rFonts w:eastAsiaTheme="minorEastAsia" w:hint="eastAsia"/>
        </w:rPr>
        <w:t>for</w:t>
      </w:r>
      <w:r>
        <w:rPr>
          <w:rFonts w:eastAsiaTheme="minorEastAsia"/>
        </w:rPr>
        <w:t xml:space="preserve"> </w:t>
      </w:r>
      <w:r>
        <w:rPr>
          <w:rFonts w:eastAsiaTheme="minorEastAsia" w:hint="eastAsia"/>
        </w:rPr>
        <w:t>the</w:t>
      </w:r>
      <w:r>
        <w:rPr>
          <w:rFonts w:eastAsiaTheme="minorEastAsia"/>
        </w:rPr>
        <w:t xml:space="preserve"> </w:t>
      </w:r>
      <w:r>
        <w:t xml:space="preserve">development </w:t>
      </w:r>
      <w:r>
        <w:rPr>
          <w:rFonts w:eastAsiaTheme="minorEastAsia" w:hint="eastAsia"/>
        </w:rPr>
        <w:t>of</w:t>
      </w:r>
      <w:r>
        <w:rPr>
          <w:rFonts w:eastAsiaTheme="minorEastAsia"/>
        </w:rPr>
        <w:t xml:space="preserve"> </w:t>
      </w:r>
      <w:r>
        <w:rPr>
          <w:rFonts w:eastAsiaTheme="minorEastAsia" w:hint="eastAsia"/>
        </w:rPr>
        <w:t>the</w:t>
      </w:r>
      <w:r>
        <w:rPr>
          <w:rFonts w:eastAsiaTheme="minorEastAsia"/>
        </w:rPr>
        <w:t xml:space="preserve"> </w:t>
      </w:r>
      <w:r>
        <w:t xml:space="preserve">dose coefficients </w:t>
      </w:r>
      <w:r>
        <w:rPr>
          <w:rFonts w:eastAsiaTheme="minorEastAsia" w:hint="eastAsia"/>
        </w:rPr>
        <w:t>presented</w:t>
      </w:r>
      <w:r>
        <w:rPr>
          <w:rFonts w:eastAsiaTheme="minorEastAsia"/>
        </w:rPr>
        <w:t xml:space="preserve"> </w:t>
      </w:r>
      <w:r>
        <w:rPr>
          <w:rFonts w:eastAsiaTheme="minorEastAsia" w:hint="eastAsia"/>
        </w:rPr>
        <w:t>in</w:t>
      </w:r>
      <w:r>
        <w:rPr>
          <w:rFonts w:eastAsiaTheme="minorEastAsia"/>
        </w:rPr>
        <w:t xml:space="preserve"> </w:t>
      </w:r>
      <w:r>
        <w:rPr>
          <w:rFonts w:eastAsiaTheme="minorEastAsia" w:hint="eastAsia"/>
        </w:rPr>
        <w:t>this</w:t>
      </w:r>
      <w:r>
        <w:rPr>
          <w:rFonts w:eastAsiaTheme="minorEastAsia"/>
        </w:rPr>
        <w:t xml:space="preserve"> </w:t>
      </w:r>
      <w:r>
        <w:t>publication</w:t>
      </w:r>
      <w:r>
        <w:rPr>
          <w:rFonts w:eastAsiaTheme="minorEastAsia"/>
        </w:rPr>
        <w:t xml:space="preserve"> </w:t>
      </w:r>
      <w:r>
        <w:t>is</w:t>
      </w:r>
      <w:r>
        <w:rPr>
          <w:rFonts w:eastAsiaTheme="minorEastAsia"/>
        </w:rPr>
        <w:t xml:space="preserve"> </w:t>
      </w:r>
      <w:r>
        <w:rPr>
          <w:rFonts w:eastAsiaTheme="minorEastAsia" w:hint="eastAsia"/>
        </w:rPr>
        <w:t>explained</w:t>
      </w:r>
      <w:r>
        <w:rPr>
          <w:rFonts w:eastAsiaTheme="minorEastAsia"/>
        </w:rPr>
        <w:t xml:space="preserve"> </w:t>
      </w:r>
      <w:r>
        <w:rPr>
          <w:rFonts w:eastAsiaTheme="minorEastAsia" w:hint="eastAsia"/>
        </w:rPr>
        <w:t>in</w:t>
      </w:r>
      <w:r>
        <w:rPr>
          <w:rFonts w:eastAsiaTheme="minorEastAsia"/>
        </w:rPr>
        <w:t xml:space="preserve"> </w:t>
      </w:r>
      <w:r>
        <w:rPr>
          <w:rFonts w:eastAsiaTheme="minorEastAsia" w:hint="eastAsia"/>
        </w:rPr>
        <w:t>this</w:t>
      </w:r>
      <w:r>
        <w:rPr>
          <w:rFonts w:eastAsiaTheme="minorEastAsia"/>
        </w:rPr>
        <w:t xml:space="preserve"> s</w:t>
      </w:r>
      <w:r>
        <w:rPr>
          <w:rFonts w:eastAsiaTheme="minorEastAsia" w:hint="eastAsia"/>
        </w:rPr>
        <w:t>ection.</w:t>
      </w:r>
      <w:r>
        <w:rPr>
          <w:rFonts w:eastAsiaTheme="minorEastAsia"/>
        </w:rPr>
        <w:t xml:space="preserve"> </w:t>
      </w:r>
    </w:p>
    <w:p w14:paraId="72877F9C" w14:textId="77777777" w:rsidR="00E72CA9" w:rsidRDefault="00D516E3">
      <w:pPr>
        <w:pStyle w:val="ICRPannexparagraph"/>
        <w:ind w:left="0"/>
        <w:rPr>
          <w:rFonts w:eastAsiaTheme="minorEastAsia"/>
          <w:lang w:eastAsia="ko-KR"/>
        </w:rPr>
      </w:pPr>
      <w:r>
        <w:rPr>
          <w:rFonts w:eastAsiaTheme="minorEastAsia"/>
          <w:lang w:eastAsia="ko-KR"/>
        </w:rPr>
        <w:t xml:space="preserve"> For the implementation of the DRF a new Geant4 class was derived from the G4VPrimitiveScorer class, which is the abstract class of all score classes pre-defined in the Geant4 code such as G4PSTrackLength, G4PSCellFlux, G4PSDoseDeposit, etc. The main purpose of the new class is to modify the ‘</w:t>
      </w:r>
      <w:proofErr w:type="spellStart"/>
      <w:r>
        <w:rPr>
          <w:rFonts w:eastAsiaTheme="minorEastAsia"/>
          <w:lang w:eastAsia="ko-KR"/>
        </w:rPr>
        <w:t>ProcessHits</w:t>
      </w:r>
      <w:proofErr w:type="spellEnd"/>
      <w:r>
        <w:rPr>
          <w:rFonts w:eastAsiaTheme="minorEastAsia"/>
          <w:lang w:eastAsia="ko-KR"/>
        </w:rPr>
        <w:t xml:space="preserve">’ function, which is the key member function originated from the G4VPrimitiveScorer class in order to implement the DRFs on-the-fly calculations. The </w:t>
      </w:r>
      <w:proofErr w:type="spellStart"/>
      <w:r>
        <w:rPr>
          <w:rFonts w:eastAsiaTheme="minorEastAsia"/>
          <w:lang w:eastAsia="ko-KR"/>
        </w:rPr>
        <w:t>ProcessHits</w:t>
      </w:r>
      <w:proofErr w:type="spellEnd"/>
      <w:r>
        <w:rPr>
          <w:rFonts w:eastAsiaTheme="minorEastAsia"/>
          <w:lang w:eastAsia="ko-KR"/>
        </w:rPr>
        <w:t xml:space="preserve"> function is invoked when the current step of a transported particle occurs in the volume of the reference phantom which was previously assigned as a sensitive detector volume in the </w:t>
      </w:r>
      <w:proofErr w:type="spellStart"/>
      <w:r>
        <w:rPr>
          <w:rFonts w:eastAsiaTheme="minorEastAsia"/>
          <w:lang w:eastAsia="ko-KR"/>
        </w:rPr>
        <w:t>DetectorConstruction</w:t>
      </w:r>
      <w:proofErr w:type="spellEnd"/>
      <w:r>
        <w:rPr>
          <w:rFonts w:eastAsiaTheme="minorEastAsia"/>
          <w:lang w:eastAsia="ko-KR"/>
        </w:rPr>
        <w:t xml:space="preserve"> class for the phantom implementation (derived from G4VUserDetectorConstruction class). </w:t>
      </w:r>
    </w:p>
    <w:p w14:paraId="53377E8E" w14:textId="77777777" w:rsidR="00E72CA9" w:rsidRDefault="00D516E3">
      <w:pPr>
        <w:pStyle w:val="ICRPannexparagraph"/>
        <w:ind w:left="0"/>
        <w:rPr>
          <w:rFonts w:eastAsiaTheme="minorEastAsia"/>
          <w:lang w:eastAsia="ko-KR"/>
        </w:rPr>
      </w:pPr>
      <w:r>
        <w:rPr>
          <w:rFonts w:eastAsiaTheme="minorEastAsia"/>
          <w:lang w:eastAsia="ko-KR"/>
        </w:rPr>
        <w:t xml:space="preserve">The </w:t>
      </w:r>
      <w:proofErr w:type="spellStart"/>
      <w:r>
        <w:rPr>
          <w:rFonts w:eastAsiaTheme="minorEastAsia"/>
          <w:lang w:eastAsia="ko-KR"/>
        </w:rPr>
        <w:t>ProcessHits</w:t>
      </w:r>
      <w:proofErr w:type="spellEnd"/>
      <w:r>
        <w:rPr>
          <w:rFonts w:eastAsiaTheme="minorEastAsia"/>
          <w:lang w:eastAsia="ko-KR"/>
        </w:rPr>
        <w:t xml:space="preserve"> function first checks if the particle for the step is a photon by calling the </w:t>
      </w:r>
      <w:proofErr w:type="spellStart"/>
      <w:r>
        <w:rPr>
          <w:rFonts w:eastAsiaTheme="minorEastAsia"/>
          <w:lang w:eastAsia="ko-KR"/>
        </w:rPr>
        <w:t>GetDefinition</w:t>
      </w:r>
      <w:proofErr w:type="spellEnd"/>
      <w:r>
        <w:rPr>
          <w:rFonts w:eastAsiaTheme="minorEastAsia"/>
          <w:lang w:eastAsia="ko-KR"/>
        </w:rPr>
        <w:t xml:space="preserve"> function in the </w:t>
      </w:r>
      <w:proofErr w:type="spellStart"/>
      <w:r>
        <w:rPr>
          <w:rFonts w:eastAsiaTheme="minorEastAsia"/>
          <w:lang w:eastAsia="ko-KR"/>
        </w:rPr>
        <w:t>GetTrack</w:t>
      </w:r>
      <w:proofErr w:type="spellEnd"/>
      <w:r>
        <w:rPr>
          <w:rFonts w:eastAsiaTheme="minorEastAsia"/>
          <w:lang w:eastAsia="ko-KR"/>
        </w:rPr>
        <w:t xml:space="preserve"> function in the G4Step class. If this is not the case, it returns FALSE to quit the </w:t>
      </w:r>
      <w:proofErr w:type="spellStart"/>
      <w:r>
        <w:rPr>
          <w:rFonts w:eastAsiaTheme="minorEastAsia"/>
          <w:lang w:eastAsia="ko-KR"/>
        </w:rPr>
        <w:t>ProcessHit</w:t>
      </w:r>
      <w:proofErr w:type="spellEnd"/>
      <w:r>
        <w:rPr>
          <w:rFonts w:eastAsiaTheme="minorEastAsia"/>
          <w:lang w:eastAsia="ko-KR"/>
        </w:rPr>
        <w:t xml:space="preserve"> function and moves to the next step. If yes, the </w:t>
      </w:r>
      <w:proofErr w:type="spellStart"/>
      <w:r>
        <w:rPr>
          <w:rFonts w:eastAsiaTheme="minorEastAsia"/>
          <w:lang w:eastAsia="ko-KR"/>
        </w:rPr>
        <w:t>ProcessHit</w:t>
      </w:r>
      <w:proofErr w:type="spellEnd"/>
      <w:r>
        <w:rPr>
          <w:rFonts w:eastAsiaTheme="minorEastAsia"/>
          <w:lang w:eastAsia="ko-KR"/>
        </w:rPr>
        <w:t xml:space="preserve"> function subsequently checks if the step occurs in one of the spongiosa regions by calling and checking the voxel ID. If no, it returns FALSE again but if yes, the </w:t>
      </w:r>
      <w:proofErr w:type="spellStart"/>
      <w:r>
        <w:rPr>
          <w:rFonts w:eastAsiaTheme="minorEastAsia"/>
          <w:lang w:eastAsia="ko-KR"/>
        </w:rPr>
        <w:t>ProcessHit</w:t>
      </w:r>
      <w:proofErr w:type="spellEnd"/>
      <w:r>
        <w:rPr>
          <w:rFonts w:eastAsiaTheme="minorEastAsia"/>
          <w:lang w:eastAsia="ko-KR"/>
        </w:rPr>
        <w:t xml:space="preserve"> function calculates a step length (the distance between the pre-step point and post-step point) by calling the </w:t>
      </w:r>
      <w:proofErr w:type="spellStart"/>
      <w:r>
        <w:rPr>
          <w:rFonts w:eastAsiaTheme="minorEastAsia"/>
          <w:lang w:eastAsia="ko-KR"/>
        </w:rPr>
        <w:t>GetStepLength</w:t>
      </w:r>
      <w:proofErr w:type="spellEnd"/>
      <w:r>
        <w:rPr>
          <w:rFonts w:eastAsiaTheme="minorEastAsia"/>
          <w:lang w:eastAsia="ko-KR"/>
        </w:rPr>
        <w:t xml:space="preserve"> function in the G4Step class. Then, the calculated step length is divided by the volume of the corresponding spongiosa region to derive the photon fluence. The fluence at the given photon energy is multiplied by the corresponding values of the DRF, determined using the log-log interpolation, to calculate the absorbed dose to the red bone marrow (RBM) and endosteum, respectively. Finally, the calculated values of the skeletal doses for each step are summed up using the G4THitsMap class.  </w:t>
      </w:r>
    </w:p>
    <w:p w14:paraId="12FEE33B" w14:textId="77777777" w:rsidR="00E72CA9" w:rsidRDefault="00D516E3">
      <w:pPr>
        <w:pStyle w:val="ICRPannexparagraph"/>
        <w:ind w:left="0"/>
        <w:rPr>
          <w:rFonts w:eastAsiaTheme="minorEastAsia"/>
          <w:lang w:eastAsia="ko-KR"/>
        </w:rPr>
      </w:pPr>
      <w:r>
        <w:rPr>
          <w:rFonts w:eastAsiaTheme="minorEastAsia"/>
          <w:lang w:eastAsia="ko-KR"/>
        </w:rPr>
        <w:t>It is worth noting that the DRF values show linear characteristics under log-log fitting</w:t>
      </w:r>
      <w:r>
        <w:rPr>
          <w:rFonts w:eastAsiaTheme="minorEastAsia" w:hint="eastAsia"/>
          <w:lang w:eastAsia="zh-CN"/>
        </w:rPr>
        <w:t>.</w:t>
      </w:r>
      <w:r>
        <w:rPr>
          <w:rFonts w:eastAsiaTheme="minorEastAsia"/>
          <w:lang w:eastAsia="ko-KR"/>
        </w:rPr>
        <w:t xml:space="preserve"> Thus, it is more reasonable to get a value via a log-log interpolation, rather than a single </w:t>
      </w:r>
      <w:r>
        <w:rPr>
          <w:rFonts w:eastAsiaTheme="minorEastAsia"/>
          <w:lang w:eastAsia="ko-KR"/>
        </w:rPr>
        <w:lastRenderedPageBreak/>
        <w:t xml:space="preserve">log interpolation, especially when extrapolating beyond the provided energy bins </w:t>
      </w:r>
      <w:r>
        <w:rPr>
          <w:rFonts w:eastAsiaTheme="minorEastAsia"/>
          <w:lang w:eastAsia="ko-KR"/>
        </w:rPr>
        <w:fldChar w:fldCharType="begin"/>
      </w:r>
      <w:r>
        <w:rPr>
          <w:rFonts w:eastAsiaTheme="minorEastAsia"/>
          <w:lang w:eastAsia="ko-KR"/>
        </w:rPr>
        <w:instrText xml:space="preserve"> ADDIN EN.CITE &lt;EndNote&gt;&lt;Cite&gt;&lt;Author&gt;Lee&lt;/Author&gt;&lt;Year&gt;2006&lt;/Year&gt;&lt;RecNum&gt;11907&lt;/RecNum&gt;&lt;DisplayText&gt;(Lee et al., 2006)&lt;/DisplayText&gt;&lt;record&gt;&lt;rec-number&gt;11907&lt;/rec-number&gt;&lt;foreign-keys&gt;&lt;key app="EN" db-id="rss5s0wzrpx9pwe5a0h5a9wkx9sf2zexde9d" timestamp="1616078041"&gt;11907&lt;/key&gt;&lt;/foreign-keys&gt;&lt;ref-type name="Journal Article"&gt;17&lt;/ref-type&gt;&lt;contributors&gt;&lt;authors&gt;&lt;author&gt;Lee, Choonik&lt;/author&gt;&lt;author&gt;Lee, Choonsik&lt;/author&gt;&lt;author&gt;Shah, Amish P.&lt;/author&gt;&lt;author&gt;Bolch, Wesley E.&lt;/author&gt;&lt;/authors&gt;&lt;/contributors&gt;&lt;titles&gt;&lt;title&gt;An assessment of bone marrow and bone endosteum dosimetry methods for photon sources&lt;/title&gt;&lt;secondary-title&gt;Physics in Medicine and Biology&lt;/secondary-title&gt;&lt;/titles&gt;&lt;pages&gt;5391-5407&lt;/pages&gt;&lt;volume&gt;51&lt;/volume&gt;&lt;number&gt;21&lt;/number&gt;&lt;dates&gt;&lt;year&gt;2006&lt;/year&gt;&lt;pub-dates&gt;&lt;date&gt;2006/10/06&lt;/date&gt;&lt;/pub-dates&gt;&lt;/dates&gt;&lt;publisher&gt;IOP Publishing&lt;/publisher&gt;&lt;isbn&gt;0031-9155&amp;#xD;1361-6560&lt;/isbn&gt;&lt;urls&gt;&lt;related-urls&gt;&lt;url&gt;http://dx.doi.org/10.1088/0031-9155/51/21/001&lt;/url&gt;&lt;/related-urls&gt;&lt;/urls&gt;&lt;electronic-resource-num&gt;10.1088/0031-9155/51/21/001&lt;/electronic-resource-num&gt;&lt;/record&gt;&lt;/Cite&gt;&lt;/EndNote&gt;</w:instrText>
      </w:r>
      <w:r>
        <w:rPr>
          <w:rFonts w:eastAsiaTheme="minorEastAsia"/>
          <w:lang w:eastAsia="ko-KR"/>
        </w:rPr>
        <w:fldChar w:fldCharType="separate"/>
      </w:r>
      <w:r>
        <w:rPr>
          <w:rFonts w:eastAsiaTheme="minorEastAsia"/>
          <w:noProof/>
          <w:lang w:eastAsia="ko-KR"/>
        </w:rPr>
        <w:t>(Lee et al., 2006)</w:t>
      </w:r>
      <w:r>
        <w:rPr>
          <w:rFonts w:eastAsiaTheme="minorEastAsia"/>
          <w:lang w:eastAsia="ko-KR"/>
        </w:rPr>
        <w:fldChar w:fldCharType="end"/>
      </w:r>
      <w:r>
        <w:rPr>
          <w:rFonts w:eastAsiaTheme="minorEastAsia"/>
          <w:lang w:eastAsia="ko-KR"/>
        </w:rPr>
        <w:t>.</w:t>
      </w:r>
    </w:p>
    <w:p w14:paraId="57601983" w14:textId="77777777" w:rsidR="00E72CA9" w:rsidRDefault="00D516E3">
      <w:pPr>
        <w:pStyle w:val="ICRPannexheading3"/>
        <w:ind w:left="720"/>
      </w:pPr>
      <w:r>
        <w:t>EGSnrc</w:t>
      </w:r>
    </w:p>
    <w:p w14:paraId="1CBF9095" w14:textId="77777777" w:rsidR="00E72CA9" w:rsidRDefault="00D516E3">
      <w:pPr>
        <w:pStyle w:val="ICRPannexparagraph"/>
        <w:tabs>
          <w:tab w:val="clear" w:pos="646"/>
          <w:tab w:val="clear" w:pos="1004"/>
          <w:tab w:val="left" w:pos="993"/>
        </w:tabs>
        <w:ind w:left="0"/>
      </w:pPr>
      <w:r>
        <w:t xml:space="preserve">The implementation of DRF in </w:t>
      </w:r>
      <w:proofErr w:type="spellStart"/>
      <w:r>
        <w:t>EGSnrc</w:t>
      </w:r>
      <w:proofErr w:type="spellEnd"/>
      <w:r>
        <w:t xml:space="preserve"> or </w:t>
      </w:r>
      <w:proofErr w:type="spellStart"/>
      <w:r>
        <w:t>DOSxyznrc</w:t>
      </w:r>
      <w:proofErr w:type="spellEnd"/>
      <w:r>
        <w:t xml:space="preserve"> requires some non-trivial changes in the user code, since there is no pre-defined macro to compute the photon fluence in an organ or tissue. With user codes being very different, an approximate scheme is provided below, rather than specific code fragments.</w:t>
      </w:r>
    </w:p>
    <w:p w14:paraId="7C1A5D5F" w14:textId="77777777" w:rsidR="00E72CA9" w:rsidRDefault="00D516E3">
      <w:pPr>
        <w:pStyle w:val="ICRPannexparagraph"/>
        <w:tabs>
          <w:tab w:val="clear" w:pos="1004"/>
          <w:tab w:val="num" w:pos="993"/>
        </w:tabs>
        <w:ind w:left="0"/>
      </w:pPr>
      <w:r>
        <w:t xml:space="preserve">The basis to implement DRF in EGSnrc is to compute the fluence in the different skeletal regions using an estimator such as the collision-density or track-length estimator described e.g. in Annex D of ICRP </w:t>
      </w:r>
      <w:r>
        <w:rPr>
          <w:i/>
        </w:rPr>
        <w:t>Publication 116</w:t>
      </w:r>
      <w:r>
        <w:t xml:space="preserve"> </w:t>
      </w:r>
      <w:r>
        <w:fldChar w:fldCharType="begin"/>
      </w:r>
      <w:r>
        <w:instrText xml:space="preserve"> ADDIN EN.CITE &lt;EndNote&gt;&lt;Cite&gt;&lt;Author&gt;ICRP&lt;/Author&gt;&lt;Year&gt;2010&lt;/Year&gt;&lt;RecNum&gt;11772&lt;/RecNum&gt;&lt;DisplayText&gt;(ICRP, 2010)&lt;/DisplayText&gt;&lt;record&gt;&lt;rec-number&gt;11772&lt;/rec-number&gt;&lt;foreign-keys&gt;&lt;key app="EN" db-id="rss5s0wzrpx9pwe5a0h5a9wkx9sf2zexde9d" timestamp="1612861899"&gt;11772&lt;/key&gt;&lt;/foreign-keys&gt;&lt;ref-type name="Journal Article"&gt;17&lt;/ref-type&gt;&lt;contributors&gt;&lt;authors&gt;&lt;author&gt;ICRP,&lt;/author&gt;&lt;/authors&gt;&lt;tertiary-authors&gt;&lt;author&gt;Elsevier&lt;/author&gt;&lt;/tertiary-authors&gt;&lt;/contributors&gt;&lt;titles&gt;&lt;title&gt;Conversion Coefficients for Radiological Protection Quantities for External Radiation Exposures. ICRP Publication 116&lt;/title&gt;&lt;secondary-title&gt;Annals of the ICRP&lt;/secondary-title&gt;&lt;/titles&gt;&lt;periodical&gt;&lt;full-title&gt;Annals of the ICRP&lt;/full-title&gt;&lt;abbr-1&gt;Ann. ICRP&lt;/abbr-1&gt;&lt;abbr-2&gt;Ann ICRP&lt;/abbr-2&gt;&lt;/periodical&gt;&lt;volume&gt;40&lt;/volume&gt;&lt;number&gt;2-5&lt;/number&gt;&lt;dates&gt;&lt;year&gt;2010&lt;/year&gt;&lt;/dates&gt;&lt;pub-location&gt;Oxford, UK&lt;/pub-location&gt;&lt;publisher&gt;International Commission of Radiological Protection&lt;/publisher&gt;&lt;orig-pub&gt;Ann. ICRP 40(2-5)&lt;/orig-pub&gt;&lt;isbn&gt;116&lt;/isbn&gt;&lt;work-type&gt;ICRP Publication&lt;/work-type&gt;&lt;urls&gt;&lt;/urls&gt;&lt;/record&gt;&lt;/Cite&gt;&lt;/EndNote&gt;</w:instrText>
      </w:r>
      <w:r>
        <w:fldChar w:fldCharType="separate"/>
      </w:r>
      <w:r>
        <w:rPr>
          <w:noProof/>
        </w:rPr>
        <w:t>(ICRP, 2010)</w:t>
      </w:r>
      <w:r>
        <w:fldChar w:fldCharType="end"/>
      </w:r>
      <w:r>
        <w:t xml:space="preserve">. The most suitable position to implement any of these estimators is using AUSGAB (an essential subroutine programmed by the user) connected with suitable IAUSFL-elements set to 1. </w:t>
      </w:r>
    </w:p>
    <w:p w14:paraId="1A7CFD06" w14:textId="77777777" w:rsidR="00E72CA9" w:rsidRDefault="00D516E3">
      <w:pPr>
        <w:pStyle w:val="ICRPannexparagraph"/>
        <w:tabs>
          <w:tab w:val="clear" w:pos="1004"/>
          <w:tab w:val="num" w:pos="993"/>
        </w:tabs>
        <w:ind w:left="0"/>
      </w:pPr>
      <w:r>
        <w:t xml:space="preserve">A major challenge in EGSnrc in order to use any of these estimators, is the implementation of bound Compton-scattering by a rejection method i.e. not in all cases, where EGSnrc signals that a Compton-scatter interaction is going to take place, this interaction actually occurs. Thus, these signals cannot be used without caution to determine the end of a particle track, as required by the track-length estimator or to count the interactions, as required by the collision-density estimator. Therefore, using those flags that lead to a call of AUSGAB before an interaction is made, is potentially not useful. The preferred method seems to be setting those IAUSFL-elements that lead to a call of AUSGAB after an interaction takes place, as then rejected Compton interactions can be identified (by NP = </w:t>
      </w:r>
      <w:proofErr w:type="spellStart"/>
      <w:r>
        <w:t>NPold</w:t>
      </w:r>
      <w:proofErr w:type="spellEnd"/>
      <w:r>
        <w:t>). This requires, however, more book-keeping of the particle history, e.g. to provide the photon energy before an interaction also after the interaction took place.</w:t>
      </w:r>
    </w:p>
    <w:p w14:paraId="48039E3B" w14:textId="77777777" w:rsidR="00E72CA9" w:rsidRDefault="00D516E3">
      <w:pPr>
        <w:pStyle w:val="ICRPannexparagraph"/>
        <w:tabs>
          <w:tab w:val="clear" w:pos="1004"/>
          <w:tab w:val="num" w:pos="993"/>
        </w:tabs>
        <w:ind w:left="0"/>
      </w:pPr>
      <w:r>
        <w:t xml:space="preserve">Furthermore, the rejection method for bound Compton scattering also means that the linear-attenuation coefficients used by EGSnrc itself for the transport are different from the actual linear-attenuation coefficient, and thus cannot be used for the collision-density estimator. Thus, for this fluence estimator, the actual linear-attenuation coefficients have to be obtained from other sources [e.g. XCOM/NIST </w:t>
      </w:r>
      <w:r>
        <w:fldChar w:fldCharType="begin"/>
      </w:r>
      <w:r>
        <w:instrText xml:space="preserve"> ADDIN EN.CITE &lt;EndNote&gt;&lt;Cite&gt;&lt;Author&gt;Berger&lt;/Author&gt;&lt;Year&gt;1990, 1998&lt;/Year&gt;&lt;RecNum&gt;12486&lt;/RecNum&gt;&lt;DisplayText&gt;(Berger et al., 1990, 1998)&lt;/DisplayText&gt;&lt;record&gt;&lt;rec-number&gt;12486&lt;/rec-number&gt;&lt;foreign-keys&gt;&lt;key app="EN" db-id="rss5s0wzrpx9pwe5a0h5a9wkx9sf2zexde9d" timestamp="1695285614"&gt;12486&lt;/key&gt;&lt;/foreign-keys&gt;&lt;ref-type name="Web Page"&gt;12&lt;/ref-type&gt;&lt;contributors&gt;&lt;authors&gt;&lt;author&gt;Berger, M.J.&lt;/author&gt;&lt;author&gt;Hubbell, J.H.&lt;/author&gt;&lt;author&gt;Seltzer, S.M.&lt;/author&gt;&lt;author&gt;Chang, J.&lt;/author&gt;&lt;author&gt;Coursey, J.S.&lt;/author&gt;&lt;author&gt;Sukumar, R.&lt;/author&gt;&lt;author&gt;Zucker, D.S. &lt;/author&gt;&lt;author&gt;Olsen, K.&lt;/author&gt;&lt;/authors&gt;&lt;/contributors&gt;&lt;titles&gt;&lt;title&gt;NIST Standard Reference Database 8 (XGAM)&lt;/title&gt;&lt;secondary-title&gt;XCOM: Photon Cross Sections Database&lt;/secondary-title&gt;&lt;/titles&gt;&lt;dates&gt;&lt;year&gt;1990, 1998&lt;/year&gt;&lt;pub-dates&gt;&lt;date&gt;2010&lt;/date&gt;&lt;/pub-dates&gt;&lt;/dates&gt;&lt;publisher&gt;NIST, PML, Radiation Physics Division&lt;/publisher&gt;&lt;urls&gt;&lt;/urls&gt;&lt;electronic-resource-num&gt;https://dx.doi.org/10.18434/T48G6X&lt;/electronic-resource-num&gt;&lt;/record&gt;&lt;/Cite&gt;&lt;/EndNote&gt;</w:instrText>
      </w:r>
      <w:r>
        <w:fldChar w:fldCharType="separate"/>
      </w:r>
      <w:r>
        <w:rPr>
          <w:noProof/>
        </w:rPr>
        <w:t>(Berger et al., 1990, 1998)</w:t>
      </w:r>
      <w:r>
        <w:fldChar w:fldCharType="end"/>
      </w:r>
      <w:r>
        <w:t>].</w:t>
      </w:r>
    </w:p>
    <w:p w14:paraId="4DDA091C" w14:textId="77777777" w:rsidR="00E72CA9" w:rsidRDefault="00D516E3">
      <w:pPr>
        <w:pStyle w:val="ICRPannexparagraph"/>
        <w:tabs>
          <w:tab w:val="clear" w:pos="1004"/>
          <w:tab w:val="num" w:pos="993"/>
        </w:tabs>
        <w:ind w:left="0"/>
      </w:pPr>
      <w:r>
        <w:t xml:space="preserve">With the fluence available from any suitable estimator, the computation of the red-bone and endosteum dose is easily performed by multiplying it with the appropriate DRF values. </w:t>
      </w:r>
    </w:p>
    <w:p w14:paraId="409C628B" w14:textId="77777777" w:rsidR="00E72CA9" w:rsidRDefault="00D516E3">
      <w:pPr>
        <w:pStyle w:val="ICRPannexparagraph"/>
        <w:tabs>
          <w:tab w:val="clear" w:pos="1004"/>
          <w:tab w:val="num" w:pos="862"/>
        </w:tabs>
        <w:ind w:left="-142"/>
      </w:pPr>
      <w:r>
        <w:br w:type="page"/>
      </w:r>
    </w:p>
    <w:p w14:paraId="4A7D5380" w14:textId="77777777" w:rsidR="00E72CA9" w:rsidRDefault="00D516E3">
      <w:pPr>
        <w:pStyle w:val="ICRPannexheading2"/>
        <w:ind w:left="576"/>
        <w:outlineLvl w:val="1"/>
        <w:rPr>
          <w:lang w:val="de-DE"/>
        </w:rPr>
      </w:pPr>
      <w:bookmarkStart w:id="226" w:name="_Toc158293679"/>
      <w:bookmarkStart w:id="227" w:name="_Toc165302069"/>
      <w:r>
        <w:rPr>
          <w:lang w:val="de-DE"/>
        </w:rPr>
        <w:lastRenderedPageBreak/>
        <w:t>References</w:t>
      </w:r>
      <w:bookmarkEnd w:id="226"/>
      <w:bookmarkEnd w:id="227"/>
    </w:p>
    <w:p w14:paraId="44F929A5" w14:textId="77777777" w:rsidR="00E72CA9" w:rsidRDefault="00D516E3">
      <w:pPr>
        <w:pStyle w:val="EndNoteBibliography"/>
        <w:ind w:left="284" w:hanging="284"/>
        <w:rPr>
          <w:sz w:val="22"/>
          <w:szCs w:val="22"/>
        </w:rPr>
      </w:pPr>
      <w:r>
        <w:rPr>
          <w:sz w:val="22"/>
          <w:szCs w:val="22"/>
        </w:rPr>
        <w:fldChar w:fldCharType="begin"/>
      </w:r>
      <w:r>
        <w:rPr>
          <w:sz w:val="22"/>
          <w:szCs w:val="22"/>
          <w:lang w:val="de-DE"/>
        </w:rPr>
        <w:instrText xml:space="preserve"> ADDIN EN.REFLIST </w:instrText>
      </w:r>
      <w:r>
        <w:rPr>
          <w:sz w:val="22"/>
          <w:szCs w:val="22"/>
        </w:rPr>
        <w:fldChar w:fldCharType="separate"/>
      </w:r>
      <w:r>
        <w:rPr>
          <w:sz w:val="22"/>
          <w:szCs w:val="22"/>
        </w:rPr>
        <w:t>Berger, M.J., Hubbell, J.H., Seltzer, S.M., et al., 1990, 1998. NIST Standard Reference Database 8 (XGAM). National Institute of Standards and Technology, Gaithersburg, MD.</w:t>
      </w:r>
    </w:p>
    <w:p w14:paraId="25BF781C" w14:textId="77777777" w:rsidR="00E72CA9" w:rsidRDefault="00D516E3">
      <w:pPr>
        <w:pStyle w:val="EndNoteBibliography"/>
        <w:ind w:left="284" w:hanging="284"/>
        <w:rPr>
          <w:sz w:val="22"/>
          <w:szCs w:val="22"/>
        </w:rPr>
      </w:pPr>
      <w:r>
        <w:rPr>
          <w:sz w:val="22"/>
          <w:szCs w:val="22"/>
        </w:rPr>
        <w:t>Cristy, M., 1981. Active bone marrow distribution as a function of age in humans. Phys. Med. Biol. 26, 389–400.</w:t>
      </w:r>
    </w:p>
    <w:p w14:paraId="3D6F837E" w14:textId="77777777" w:rsidR="00E72CA9" w:rsidRDefault="00D516E3">
      <w:pPr>
        <w:pStyle w:val="EndNoteBibliography"/>
        <w:ind w:left="284" w:hanging="284"/>
        <w:rPr>
          <w:sz w:val="22"/>
          <w:szCs w:val="22"/>
        </w:rPr>
      </w:pPr>
      <w:r>
        <w:rPr>
          <w:sz w:val="22"/>
          <w:szCs w:val="22"/>
        </w:rPr>
        <w:t>Cullen, D.E., Hubbell, J.H., Kissel, L., 1997. EPDL97: The Evaluated Photon Data Library, '97 Version.UCRL-50400, 6, Rev. 5. Lawrence Livermore National Laboratory, Livermore, CA.</w:t>
      </w:r>
    </w:p>
    <w:p w14:paraId="7A1450E3" w14:textId="77777777" w:rsidR="00E72CA9" w:rsidRDefault="00D516E3">
      <w:pPr>
        <w:pStyle w:val="EndNoteBibliography"/>
        <w:ind w:left="284" w:hanging="284"/>
        <w:rPr>
          <w:sz w:val="22"/>
          <w:szCs w:val="22"/>
        </w:rPr>
      </w:pPr>
      <w:r>
        <w:rPr>
          <w:sz w:val="22"/>
          <w:szCs w:val="22"/>
        </w:rPr>
        <w:t xml:space="preserve">Hirayama, H., Namito, Y., Bielajew, A.F., et al., 2005. The EGS5 code system. SLAC-R-730 and KEK Report 2005-8. High Energy Accelerator Research Organization, Ibaraki. </w:t>
      </w:r>
    </w:p>
    <w:p w14:paraId="787005AE" w14:textId="77777777" w:rsidR="00E72CA9" w:rsidRDefault="00D516E3">
      <w:pPr>
        <w:pStyle w:val="EndNoteBibliography"/>
        <w:ind w:left="284" w:hanging="284"/>
        <w:rPr>
          <w:sz w:val="22"/>
          <w:szCs w:val="22"/>
        </w:rPr>
      </w:pPr>
      <w:r>
        <w:rPr>
          <w:sz w:val="22"/>
          <w:szCs w:val="22"/>
        </w:rPr>
        <w:t>Hough, M., Johnson, P., Rajon, D., et al., 2011. An image-based skeletal dosimetry model for the ICRP reference adult male—internal electron sources. Phys. Med. Biol. 56, 2309–2346.</w:t>
      </w:r>
    </w:p>
    <w:p w14:paraId="7C96CFBB" w14:textId="77777777" w:rsidR="00E72CA9" w:rsidRDefault="00D516E3">
      <w:pPr>
        <w:pStyle w:val="EndNoteBibliography"/>
        <w:ind w:left="284" w:hanging="284"/>
        <w:rPr>
          <w:sz w:val="22"/>
          <w:szCs w:val="22"/>
        </w:rPr>
      </w:pPr>
      <w:r>
        <w:rPr>
          <w:sz w:val="22"/>
          <w:szCs w:val="22"/>
        </w:rPr>
        <w:t>ICRP, 2002. Basic anatomical and physiological data for use in radiological protection: reference values. ICRP publication 89. Ann. ICRP 32(3–4).</w:t>
      </w:r>
    </w:p>
    <w:p w14:paraId="40AC2BF3" w14:textId="77777777" w:rsidR="00E72CA9" w:rsidRDefault="00D516E3">
      <w:pPr>
        <w:pStyle w:val="EndNoteBibliography"/>
        <w:ind w:left="284" w:hanging="284"/>
        <w:rPr>
          <w:sz w:val="22"/>
          <w:szCs w:val="22"/>
        </w:rPr>
      </w:pPr>
      <w:r>
        <w:rPr>
          <w:sz w:val="22"/>
          <w:szCs w:val="22"/>
        </w:rPr>
        <w:t xml:space="preserve">ICRP, 2009. Adult reference computational phantoms. ICRP Publication 110. Ann. ICRP 39(2), </w:t>
      </w:r>
    </w:p>
    <w:p w14:paraId="281EDC3A" w14:textId="77777777" w:rsidR="00E72CA9" w:rsidRDefault="00D516E3">
      <w:pPr>
        <w:pStyle w:val="EndNoteBibliography"/>
        <w:ind w:left="284" w:hanging="284"/>
        <w:rPr>
          <w:sz w:val="22"/>
          <w:szCs w:val="22"/>
        </w:rPr>
      </w:pPr>
      <w:r>
        <w:rPr>
          <w:sz w:val="22"/>
          <w:szCs w:val="22"/>
        </w:rPr>
        <w:t xml:space="preserve">ICRP, 2010. Conversion Coefficients for Radiological Protection Quantities for External Radiation Exposures. ICRP Publication 116. Ann. ICRP 40(2–5). </w:t>
      </w:r>
    </w:p>
    <w:p w14:paraId="42F35378" w14:textId="77777777" w:rsidR="00E72CA9" w:rsidRDefault="00D516E3">
      <w:pPr>
        <w:pStyle w:val="EndNoteBibliography"/>
        <w:ind w:left="284" w:hanging="284"/>
        <w:rPr>
          <w:sz w:val="22"/>
          <w:szCs w:val="22"/>
        </w:rPr>
      </w:pPr>
      <w:r>
        <w:rPr>
          <w:sz w:val="22"/>
          <w:szCs w:val="22"/>
        </w:rPr>
        <w:t xml:space="preserve">ICRP, 2020. Dose coefficients for external exposures to environmental sources. ICRP Publication 144. Ann. ICRP 49(2). </w:t>
      </w:r>
    </w:p>
    <w:p w14:paraId="0BD5F77E" w14:textId="77777777" w:rsidR="00E72CA9" w:rsidRDefault="00D516E3">
      <w:pPr>
        <w:pStyle w:val="EndNoteBibliography"/>
        <w:ind w:left="284" w:hanging="284"/>
        <w:rPr>
          <w:sz w:val="22"/>
          <w:szCs w:val="22"/>
        </w:rPr>
      </w:pPr>
      <w:r>
        <w:rPr>
          <w:sz w:val="22"/>
          <w:szCs w:val="22"/>
        </w:rPr>
        <w:t xml:space="preserve">ICRP, 2024. Specific Absorbed Fractions for Paediatric Individuals. ICRP Publication 155, in press. </w:t>
      </w:r>
    </w:p>
    <w:p w14:paraId="2A844888" w14:textId="77777777" w:rsidR="00E72CA9" w:rsidRDefault="00D516E3">
      <w:pPr>
        <w:pStyle w:val="EndNoteBibliography"/>
        <w:ind w:left="284" w:hanging="284"/>
        <w:rPr>
          <w:sz w:val="22"/>
          <w:szCs w:val="22"/>
        </w:rPr>
      </w:pPr>
      <w:r>
        <w:rPr>
          <w:sz w:val="22"/>
          <w:szCs w:val="22"/>
        </w:rPr>
        <w:t xml:space="preserve">ICRU, 1989. Tissue substitutes in radiation dosimetry and measurement. ICRU Report 44. International Commission on Radiation Units and Measurements, Bethesda, MD. </w:t>
      </w:r>
    </w:p>
    <w:p w14:paraId="2FDF663E" w14:textId="77777777" w:rsidR="00E72CA9" w:rsidRDefault="00D516E3">
      <w:pPr>
        <w:pStyle w:val="EndNoteBibliography"/>
        <w:ind w:left="284" w:hanging="284"/>
        <w:rPr>
          <w:sz w:val="22"/>
          <w:szCs w:val="22"/>
        </w:rPr>
      </w:pPr>
      <w:r>
        <w:rPr>
          <w:sz w:val="22"/>
          <w:szCs w:val="22"/>
        </w:rPr>
        <w:t xml:space="preserve">ICRU, 1997. Dosimetry of external beta-rays for radiation protection. ICRU Report 56. International Commission on Radiation Units and Measurements, Bethesda, MD. </w:t>
      </w:r>
    </w:p>
    <w:p w14:paraId="28623463" w14:textId="77777777" w:rsidR="00E72CA9" w:rsidRDefault="00D516E3">
      <w:pPr>
        <w:pStyle w:val="EndNoteBibliography"/>
        <w:ind w:left="284" w:hanging="284"/>
        <w:rPr>
          <w:sz w:val="22"/>
          <w:szCs w:val="22"/>
        </w:rPr>
      </w:pPr>
      <w:r>
        <w:rPr>
          <w:sz w:val="22"/>
          <w:szCs w:val="22"/>
        </w:rPr>
        <w:t xml:space="preserve">ICRU, 2011. Fundamental quantities and units for ionizing radiation. ICRU Report 85a. International Commission on Radiation Units and Measurements, Bethesda, MD. </w:t>
      </w:r>
    </w:p>
    <w:p w14:paraId="5A8087F7" w14:textId="77777777" w:rsidR="00E72CA9" w:rsidRDefault="00D516E3">
      <w:pPr>
        <w:pStyle w:val="EndNoteBibliography"/>
        <w:ind w:left="284" w:hanging="284"/>
        <w:rPr>
          <w:sz w:val="22"/>
          <w:szCs w:val="22"/>
        </w:rPr>
      </w:pPr>
      <w:r>
        <w:rPr>
          <w:sz w:val="22"/>
          <w:szCs w:val="22"/>
        </w:rPr>
        <w:t>Johnson, P.B., Bahadori, A.A., Eckerman, K.F., et al., 2011. Response functions for computing absorbed dose to skeletal tissues from photon irradiation - an update. Phys. Med. Biol. 56, 2347–2365.</w:t>
      </w:r>
    </w:p>
    <w:p w14:paraId="0FECEBF2" w14:textId="77777777" w:rsidR="00E72CA9" w:rsidRDefault="00D516E3">
      <w:pPr>
        <w:pStyle w:val="EndNoteBibliography"/>
        <w:ind w:left="284" w:hanging="284"/>
        <w:rPr>
          <w:sz w:val="22"/>
          <w:szCs w:val="22"/>
        </w:rPr>
      </w:pPr>
      <w:r>
        <w:rPr>
          <w:sz w:val="22"/>
          <w:szCs w:val="22"/>
        </w:rPr>
        <w:t>Lee, C., Lee, C., Shah, A.P., et al., 2006. An assessment of bone marrow and bone endosteum dosimetry methods for photon sources. Phys. Med. Biol. 51, 5391–5407.</w:t>
      </w:r>
    </w:p>
    <w:p w14:paraId="0F2454E5" w14:textId="77777777" w:rsidR="00E72CA9" w:rsidRDefault="00D516E3">
      <w:pPr>
        <w:pStyle w:val="EndNoteBibliography"/>
        <w:ind w:left="284" w:hanging="284"/>
        <w:rPr>
          <w:sz w:val="22"/>
          <w:szCs w:val="22"/>
        </w:rPr>
      </w:pPr>
      <w:r>
        <w:rPr>
          <w:sz w:val="22"/>
          <w:szCs w:val="22"/>
        </w:rPr>
        <w:t>Pafundi, D., Rajon, D., Jokisch, D., et al., 2010. An image-based skeletal dosimetry model for the ICRP reference newborn:internal electron sources. Phys. Med. Biol. 55, 1785–1814.</w:t>
      </w:r>
    </w:p>
    <w:p w14:paraId="7FD98E95" w14:textId="77777777" w:rsidR="00E72CA9" w:rsidRDefault="00D516E3">
      <w:pPr>
        <w:pStyle w:val="EndNoteBibliography"/>
        <w:ind w:left="284" w:hanging="284"/>
        <w:rPr>
          <w:sz w:val="22"/>
          <w:szCs w:val="22"/>
        </w:rPr>
      </w:pPr>
      <w:r>
        <w:rPr>
          <w:sz w:val="22"/>
          <w:szCs w:val="22"/>
        </w:rPr>
        <w:t xml:space="preserve">Sato, T., Iwamoto, Y., Hashimoto, S., et al., 2023. Recent improvements of the particle and Heavy Ion transport code system – PHITS version 3.33. J. Nucl. Sci. Technol. 61, 127–135. </w:t>
      </w:r>
    </w:p>
    <w:p w14:paraId="583FEF93" w14:textId="77777777" w:rsidR="00E72CA9" w:rsidRDefault="00D516E3">
      <w:pPr>
        <w:pStyle w:val="EndNoteBibliography"/>
        <w:ind w:left="284" w:hanging="284"/>
        <w:rPr>
          <w:sz w:val="22"/>
          <w:szCs w:val="22"/>
        </w:rPr>
      </w:pPr>
      <w:r>
        <w:rPr>
          <w:sz w:val="22"/>
          <w:szCs w:val="22"/>
        </w:rPr>
        <w:t>Wayson, M.B., Lee, C., Sgouros, G., et al., 2012. Internal photon and electron dosimetry of the newborn patient - a hybrid computational phantom study. Phys. Med. Biol. 57, 1433–1457.</w:t>
      </w:r>
    </w:p>
    <w:p w14:paraId="27D6C793" w14:textId="77777777" w:rsidR="00E72CA9" w:rsidRDefault="00D516E3">
      <w:pPr>
        <w:pStyle w:val="EndNoteBibliography"/>
        <w:ind w:left="284" w:hanging="284"/>
        <w:rPr>
          <w:sz w:val="22"/>
          <w:szCs w:val="22"/>
        </w:rPr>
      </w:pPr>
      <w:r>
        <w:rPr>
          <w:sz w:val="22"/>
          <w:szCs w:val="22"/>
        </w:rPr>
        <w:t xml:space="preserve">Werner, C.J., Bull, J.S., Solomon, C.J., et al., 2018. MCNP6.2 Release Notes. LA-UR-18-20808. Los Alamos National Laboratory, Los Alamos, NM. </w:t>
      </w:r>
    </w:p>
    <w:p w14:paraId="75B31ED4" w14:textId="77777777" w:rsidR="00E72CA9" w:rsidRDefault="00D516E3">
      <w:pPr>
        <w:pStyle w:val="EndNoteBibliography"/>
        <w:ind w:left="284" w:hanging="284"/>
        <w:rPr>
          <w:sz w:val="22"/>
          <w:szCs w:val="22"/>
        </w:rPr>
      </w:pPr>
      <w:r>
        <w:rPr>
          <w:sz w:val="22"/>
          <w:szCs w:val="22"/>
        </w:rPr>
        <w:t xml:space="preserve">Werner, C.J., Armstrong, J., Brown, F.B., et al., 2017. MCNP User's Manual - Code Version 6.2. LA-UR-17-29981. Los Alamos National Laboratory, Los Alamos, NM. </w:t>
      </w:r>
    </w:p>
    <w:p w14:paraId="73B28F57" w14:textId="77777777" w:rsidR="00E72CA9" w:rsidRDefault="00D516E3">
      <w:pPr>
        <w:pStyle w:val="EndNoteBibliography"/>
        <w:ind w:left="284" w:hanging="284"/>
        <w:rPr>
          <w:sz w:val="20"/>
        </w:rPr>
      </w:pPr>
      <w:r>
        <w:rPr>
          <w:sz w:val="22"/>
          <w:szCs w:val="22"/>
        </w:rPr>
        <w:t>Zankl, M., Eakins, J., Gómez Ros, J.-M., et al., 2021. The ICRP recommended methods of red bone marrow dosimetry. Radiat. Meas. 146, 106611</w:t>
      </w:r>
    </w:p>
    <w:p w14:paraId="24320534" w14:textId="77777777" w:rsidR="00E72CA9" w:rsidRDefault="00D516E3">
      <w:pPr>
        <w:pStyle w:val="ICRPannexparagraph"/>
        <w:numPr>
          <w:ilvl w:val="0"/>
          <w:numId w:val="0"/>
        </w:numPr>
        <w:ind w:left="284" w:hanging="284"/>
        <w:rPr>
          <w:sz w:val="22"/>
        </w:rPr>
      </w:pPr>
      <w:r>
        <w:rPr>
          <w:sz w:val="22"/>
        </w:rPr>
        <w:fldChar w:fldCharType="end"/>
      </w:r>
      <w:r>
        <w:rPr>
          <w:sz w:val="22"/>
        </w:rPr>
        <w:br w:type="page"/>
      </w:r>
    </w:p>
    <w:p w14:paraId="2DFE5477" w14:textId="77777777" w:rsidR="00E72CA9" w:rsidRDefault="00D516E3">
      <w:pPr>
        <w:pStyle w:val="ICRPannexheading1"/>
        <w:outlineLvl w:val="0"/>
        <w:rPr>
          <w:szCs w:val="28"/>
        </w:rPr>
      </w:pPr>
      <w:bookmarkStart w:id="228" w:name="_Toc6997846"/>
      <w:bookmarkStart w:id="229" w:name="_Toc6997934"/>
      <w:bookmarkStart w:id="230" w:name="_Toc6998197"/>
      <w:bookmarkStart w:id="231" w:name="_Toc6998322"/>
      <w:bookmarkStart w:id="232" w:name="_Toc6998413"/>
      <w:bookmarkStart w:id="233" w:name="_Toc158293351"/>
      <w:bookmarkStart w:id="234" w:name="_Toc158293680"/>
      <w:bookmarkStart w:id="235" w:name="_Toc165302070"/>
      <w:bookmarkEnd w:id="228"/>
      <w:bookmarkEnd w:id="229"/>
      <w:bookmarkEnd w:id="230"/>
      <w:bookmarkEnd w:id="231"/>
      <w:bookmarkEnd w:id="232"/>
      <w:r>
        <w:rPr>
          <w:szCs w:val="28"/>
        </w:rPr>
        <w:lastRenderedPageBreak/>
        <w:t>electronic supplement</w:t>
      </w:r>
      <w:bookmarkEnd w:id="233"/>
      <w:bookmarkEnd w:id="234"/>
      <w:bookmarkEnd w:id="235"/>
    </w:p>
    <w:p w14:paraId="10FB1208" w14:textId="77777777" w:rsidR="00E72CA9" w:rsidRDefault="00D516E3">
      <w:pPr>
        <w:pStyle w:val="ICRPannexparagraph"/>
        <w:ind w:left="0"/>
        <w:rPr>
          <w:szCs w:val="24"/>
          <w:lang w:eastAsia="en-GB"/>
        </w:rPr>
      </w:pPr>
      <w:r>
        <w:rPr>
          <w:szCs w:val="24"/>
        </w:rPr>
        <w:t xml:space="preserve">The supplement, which is available for download with this </w:t>
      </w:r>
      <w:r>
        <w:rPr>
          <w:i/>
          <w:szCs w:val="24"/>
        </w:rPr>
        <w:t>Publication,</w:t>
      </w:r>
      <w:r>
        <w:rPr>
          <w:szCs w:val="24"/>
        </w:rPr>
        <w:t xml:space="preserve"> is organised into 19 main folders, each for a projection considered – see Section 3 for projections. Each main folder has two subfolders: one tabulating the dose coefficients in 1 keV bins as dose per fluence at 1 m from the source; the second folder provides dose coefficients for </w:t>
      </w:r>
      <w:r>
        <w:rPr>
          <w:szCs w:val="24"/>
          <w:lang w:eastAsia="en-GB"/>
        </w:rPr>
        <w:t>selected bremsstrahlung spectra</w:t>
      </w:r>
      <w:r>
        <w:rPr>
          <w:szCs w:val="24"/>
        </w:rPr>
        <w:t xml:space="preserve"> -see Section 5 for spectra considered. </w:t>
      </w:r>
      <w:r>
        <w:rPr>
          <w:szCs w:val="24"/>
          <w:lang w:eastAsia="en-GB"/>
        </w:rPr>
        <w:t>These coefficients are reported as doses per Kerma Area Product, KAP (</w:t>
      </w:r>
      <w:r>
        <w:rPr>
          <w:i/>
          <w:szCs w:val="24"/>
          <w:lang w:eastAsia="en-GB"/>
        </w:rPr>
        <w:t>P</w:t>
      </w:r>
      <w:r>
        <w:rPr>
          <w:szCs w:val="24"/>
          <w:vertAlign w:val="subscript"/>
          <w:lang w:eastAsia="en-GB"/>
        </w:rPr>
        <w:t>KA</w:t>
      </w:r>
      <w:r>
        <w:rPr>
          <w:szCs w:val="24"/>
          <w:lang w:eastAsia="en-GB"/>
        </w:rPr>
        <w:t>), per air kerma free-in-air at 1 m distance from the source and per fluence at 1 m distance from the source. All data are given in Microsoft excel spreadsheets as well as in ASCII files.</w:t>
      </w:r>
    </w:p>
    <w:p w14:paraId="0AEF643F" w14:textId="77777777" w:rsidR="00E72CA9" w:rsidRDefault="00D516E3">
      <w:pPr>
        <w:pStyle w:val="ICRPannexparagraph"/>
        <w:ind w:left="0"/>
      </w:pPr>
      <w:r>
        <w:t>Data are given separately for each age group and for the male and female phantoms. Organ absorbed dose coefficients are given for the following organs: red bone marrow (R-marrow), colon, lung, stomach (ST-wall), breast, ovaries or testes (gonads), bladder (UB-wall), oesophagus, liver, thyroid, skeletal endosteum (</w:t>
      </w:r>
      <w:proofErr w:type="spellStart"/>
      <w:r>
        <w:t>Endost</w:t>
      </w:r>
      <w:proofErr w:type="spellEnd"/>
      <w:r>
        <w:t xml:space="preserve">-BS), brain, salivary glands (S-glands), skin, remainder tissues: adrenals, extrathoracic (ET) region, gall bladder (GB-wall,) heart (Ht-wall), kidneys, lymphatic nodes, muscle, oral mucosa (O-mucosa), pancreas, prostate, small intestine (SI-wall), spleen, thymus, uterus/cervix and lens of the eye. </w:t>
      </w:r>
    </w:p>
    <w:p w14:paraId="1CE5863A" w14:textId="77777777" w:rsidR="00E72CA9" w:rsidRDefault="00D516E3">
      <w:pPr>
        <w:pStyle w:val="ICRPannexparagraph"/>
        <w:ind w:left="0"/>
      </w:pPr>
      <w:r>
        <w:t xml:space="preserve">For the data of monoenergetic photons as well as the data for the selected spectra, coefficients for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M</m:t>
            </m:r>
          </m:sup>
        </m:sSubSup>
        <m:r>
          <w:rPr>
            <w:rFonts w:ascii="Cambria Math" w:hAnsi="Cambria Math"/>
          </w:rPr>
          <m:t xml:space="preserve"> </m:t>
        </m:r>
      </m:oMath>
      <w:r>
        <w:t xml:space="preserve"> and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F</m:t>
            </m:r>
          </m:sup>
        </m:sSubSup>
      </m:oMath>
      <w:r>
        <w:t xml:space="preserve"> are provided, (denoted </w:t>
      </w:r>
      <m:oMath>
        <m:sSub>
          <m:sSubPr>
            <m:ctrlPr>
              <w:rPr>
                <w:rFonts w:ascii="Cambria Math" w:hAnsi="Cambria Math"/>
                <w:i/>
                <w:szCs w:val="24"/>
              </w:rPr>
            </m:ctrlPr>
          </m:sSubPr>
          <m:e>
            <m:r>
              <w:rPr>
                <w:rFonts w:ascii="Cambria Math" w:hAnsi="Cambria Math"/>
                <w:szCs w:val="24"/>
              </w:rPr>
              <m:t>E</m:t>
            </m:r>
          </m:e>
          <m:sub>
            <m:r>
              <m:rPr>
                <m:sty m:val="p"/>
              </m:rPr>
              <w:rPr>
                <w:rFonts w:ascii="Cambria Math" w:hAnsi="Cambria Math"/>
                <w:szCs w:val="24"/>
              </w:rPr>
              <m:t>103, xxM</m:t>
            </m:r>
          </m:sub>
        </m:sSub>
      </m:oMath>
      <w:r>
        <w:rPr>
          <w:vertAlign w:val="subscript"/>
        </w:rPr>
        <w:t xml:space="preserve"> </w:t>
      </w:r>
      <w:r>
        <w:t xml:space="preserve">and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103,</m:t>
            </m:r>
            <m:r>
              <m:rPr>
                <m:sty m:val="p"/>
              </m:rPr>
              <w:rPr>
                <w:rFonts w:ascii="Cambria Math" w:hAnsi="Cambria Math"/>
                <w:szCs w:val="24"/>
              </w:rPr>
              <m:t xml:space="preserve"> xxF</m:t>
            </m:r>
          </m:sub>
        </m:sSub>
      </m:oMath>
      <w:r>
        <w:t xml:space="preserve"> as described in paragraph 20 and annex A). For the selected spectra, values of (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M</m:t>
            </m:r>
          </m:sup>
        </m:sSubSup>
        <m:r>
          <w:rPr>
            <w:rFonts w:ascii="Cambria Math" w:hAnsi="Cambria Math"/>
          </w:rPr>
          <m:t xml:space="preserve"> </m:t>
        </m:r>
      </m:oMath>
      <w:r>
        <w:t xml:space="preserve"> +   </w:t>
      </w:r>
      <m:oMath>
        <m:nary>
          <m:naryPr>
            <m:chr m:val="∑"/>
            <m:limLoc m:val="undOvr"/>
            <m:subHide m:val="1"/>
            <m:supHide m:val="1"/>
            <m:ctrlPr>
              <w:rPr>
                <w:rFonts w:ascii="Cambria Math" w:hAnsi="Cambria Math"/>
                <w:i/>
                <w:lang w:eastAsia="en-GB"/>
              </w:rPr>
            </m:ctrlPr>
          </m:naryPr>
          <m:sub/>
          <m:sup/>
          <m:e>
            <m:sSub>
              <m:sSubPr>
                <m:ctrlPr>
                  <w:rPr>
                    <w:rFonts w:ascii="Cambria Math" w:hAnsi="Cambria Math"/>
                    <w:i/>
                    <w:lang w:eastAsia="en-GB"/>
                  </w:rPr>
                </m:ctrlPr>
              </m:sSubPr>
              <m:e>
                <m:r>
                  <w:rPr>
                    <w:rFonts w:ascii="Cambria Math" w:hAnsi="Cambria Math"/>
                  </w:rPr>
                  <m:t>w</m:t>
                </m:r>
              </m:e>
              <m:sub>
                <m:r>
                  <m:rPr>
                    <m:sty m:val="p"/>
                  </m:rPr>
                  <w:rPr>
                    <w:rFonts w:ascii="Cambria Math" w:hAnsi="Cambria Math"/>
                  </w:rPr>
                  <m:t>T</m:t>
                </m:r>
                <m:r>
                  <w:rPr>
                    <w:rFonts w:ascii="Cambria Math" w:hAnsi="Cambria Math"/>
                  </w:rPr>
                  <m:t xml:space="preserve">  </m:t>
                </m:r>
              </m:sub>
            </m:sSub>
          </m:e>
        </m:nary>
        <m:r>
          <w:rPr>
            <w:rFonts w:ascii="Cambria Math" w:hAnsi="Cambria Math"/>
          </w:rPr>
          <m:t>×</m:t>
        </m:r>
        <m:sSubSup>
          <m:sSubSupPr>
            <m:ctrlPr>
              <w:rPr>
                <w:rFonts w:ascii="Cambria Math" w:hAnsi="Cambria Math"/>
                <w:i/>
                <w:lang w:eastAsia="en-GB"/>
              </w:rPr>
            </m:ctrlPr>
          </m:sSubSupPr>
          <m:e>
            <m:r>
              <w:rPr>
                <w:rFonts w:ascii="Cambria Math" w:hAnsi="Cambria Math"/>
              </w:rPr>
              <m:t>H</m:t>
            </m:r>
          </m:e>
          <m:sub>
            <m:r>
              <m:rPr>
                <m:sty m:val="p"/>
              </m:rPr>
              <w:rPr>
                <w:rFonts w:ascii="Cambria Math" w:hAnsi="Cambria Math"/>
              </w:rPr>
              <m:t>T</m:t>
            </m:r>
            <m:r>
              <w:rPr>
                <w:rFonts w:ascii="Cambria Math" w:hAnsi="Cambria Math"/>
              </w:rPr>
              <m:t xml:space="preserve">  </m:t>
            </m:r>
          </m:sub>
          <m:sup>
            <m:r>
              <m:rPr>
                <m:sty m:val="p"/>
              </m:rPr>
              <w:rPr>
                <w:rFonts w:ascii="Cambria Math" w:hAnsi="Cambria Math"/>
              </w:rPr>
              <m:t>F</m:t>
            </m:r>
          </m:sup>
        </m:sSubSup>
      </m:oMath>
      <w:r>
        <w:rPr>
          <w:lang w:eastAsia="en-GB"/>
        </w:rPr>
        <w:t xml:space="preserve"> /2</w:t>
      </w:r>
      <w:r>
        <w:rPr>
          <w:rFonts w:hint="eastAsia"/>
        </w:rPr>
        <w:t xml:space="preserve">) </w:t>
      </w:r>
      <w:r>
        <w:rPr>
          <w:lang w:eastAsia="en-GB"/>
        </w:rPr>
        <w:t xml:space="preserve">are also given (as an effective dose coefficient). Note, that the latter are compatible with the definition of effective dose as per </w:t>
      </w:r>
      <w:r>
        <w:rPr>
          <w:i/>
          <w:lang w:eastAsia="en-GB"/>
        </w:rPr>
        <w:t xml:space="preserve">Publication 103 </w:t>
      </w:r>
      <w:r>
        <w:rPr>
          <w:lang w:eastAsia="en-GB"/>
        </w:rPr>
        <w:t>if the user chooses the same value of normalisation quantity for male and female examinations.</w:t>
      </w:r>
    </w:p>
    <w:p w14:paraId="2C5B2189" w14:textId="77777777" w:rsidR="00E72CA9" w:rsidRDefault="00D516E3">
      <w:pPr>
        <w:pStyle w:val="ICRPannexparagraph"/>
        <w:ind w:left="0"/>
        <w:rPr>
          <w:szCs w:val="24"/>
          <w:lang w:eastAsia="en-GB"/>
        </w:rPr>
      </w:pPr>
      <w:r>
        <w:rPr>
          <w:szCs w:val="24"/>
          <w:lang w:eastAsia="en-GB"/>
        </w:rPr>
        <w:t>The dose coefficients for the selected bremsstrahlung spectra are also available as part of the ICRP dose viewer which is an application freely available at the Apple App and Google Play store.</w:t>
      </w:r>
    </w:p>
    <w:p w14:paraId="3F223CAB" w14:textId="77777777" w:rsidR="00E72CA9" w:rsidRDefault="00D516E3">
      <w:pPr>
        <w:pStyle w:val="ICRPannexparagraph"/>
        <w:numPr>
          <w:ilvl w:val="0"/>
          <w:numId w:val="0"/>
        </w:numPr>
      </w:pPr>
      <w:bookmarkStart w:id="236" w:name="_Toc6997857"/>
      <w:bookmarkStart w:id="237" w:name="_Toc6997944"/>
      <w:bookmarkStart w:id="238" w:name="_Toc6998201"/>
      <w:bookmarkStart w:id="239" w:name="_Toc6998325"/>
      <w:bookmarkStart w:id="240" w:name="_Toc6998416"/>
      <w:bookmarkStart w:id="241" w:name="_Toc444336674"/>
      <w:bookmarkStart w:id="242" w:name="_Toc6997865"/>
      <w:bookmarkStart w:id="243" w:name="_Toc6997952"/>
      <w:bookmarkStart w:id="244" w:name="_Toc6998209"/>
      <w:bookmarkStart w:id="245" w:name="_Toc6998333"/>
      <w:bookmarkStart w:id="246" w:name="_Toc6998424"/>
      <w:bookmarkEnd w:id="236"/>
      <w:bookmarkEnd w:id="237"/>
      <w:bookmarkEnd w:id="238"/>
      <w:bookmarkEnd w:id="239"/>
      <w:bookmarkEnd w:id="240"/>
      <w:bookmarkEnd w:id="241"/>
      <w:bookmarkEnd w:id="242"/>
      <w:bookmarkEnd w:id="243"/>
      <w:bookmarkEnd w:id="244"/>
      <w:bookmarkEnd w:id="245"/>
      <w:bookmarkEnd w:id="246"/>
      <w:r>
        <w:br w:type="page"/>
      </w:r>
    </w:p>
    <w:p w14:paraId="1F7E32EE" w14:textId="77777777" w:rsidR="00E72CA9" w:rsidRDefault="00D516E3">
      <w:pPr>
        <w:pStyle w:val="Heading1nonumbering"/>
        <w:outlineLvl w:val="0"/>
        <w:rPr>
          <w:lang w:bidi="hi-IN"/>
        </w:rPr>
      </w:pPr>
      <w:bookmarkStart w:id="247" w:name="_Toc165302071"/>
      <w:r>
        <w:lastRenderedPageBreak/>
        <w:t>Acknowledgements</w:t>
      </w:r>
      <w:bookmarkEnd w:id="247"/>
    </w:p>
    <w:p w14:paraId="4774A0E3" w14:textId="77777777" w:rsidR="00E72CA9" w:rsidRDefault="00D516E3">
      <w:pPr>
        <w:pStyle w:val="ICRPbasic"/>
        <w:spacing w:before="0" w:after="0"/>
        <w:rPr>
          <w:lang w:val="en-US"/>
        </w:rPr>
      </w:pPr>
      <w:r>
        <w:t xml:space="preserve">This is the first publication from ICRP Task Group 113 on Reference Organ and Effective Dose Coefficients for Common Diagnostic X-Ray Imaging Examinations. Task Group 113 is a joint Task Group of ICRP Committees 2 and 3 and was established in May 2019. This publication deals with exposures in diagnostic radiography, upcoming publications of the Task Group will cover computed tomography, paediatric diagnostic fluoroscopy and fluoroscopically guided interventions. This is the first time that ICRP </w:t>
      </w:r>
      <w:r>
        <w:rPr>
          <w:lang w:val="en-US"/>
        </w:rPr>
        <w:t>has published reference dose coefficients for these types of exposures.</w:t>
      </w:r>
    </w:p>
    <w:p w14:paraId="604D08CB" w14:textId="77777777" w:rsidR="00E72CA9" w:rsidRDefault="00D516E3">
      <w:pPr>
        <w:pStyle w:val="ICRPbasic"/>
        <w:spacing w:before="0" w:after="0"/>
      </w:pPr>
      <w:r>
        <w:t>ICRP thanks all those involved in the development of this publication for their hard work and dedication. We gratefully acknowledge Martin Andersson for including the dose coefficients of the spectral beams to the ICRP Viewer. Special thanks to Thomas Otto, ICRU observer to Committee 2, for reviewing the manuscript and to Daiki Satoh for his input on skeletal dosimetry.</w:t>
      </w:r>
    </w:p>
    <w:p w14:paraId="065735E8" w14:textId="77777777" w:rsidR="00E72CA9" w:rsidRDefault="00D516E3">
      <w:pPr>
        <w:widowControl w:val="0"/>
        <w:suppressAutoHyphens/>
        <w:spacing w:before="240" w:after="240"/>
        <w:jc w:val="both"/>
        <w:textAlignment w:val="baseline"/>
        <w:rPr>
          <w:rFonts w:cstheme="minorHAnsi"/>
          <w:b/>
          <w:bCs/>
          <w:i/>
          <w:iCs/>
          <w:kern w:val="2"/>
          <w:szCs w:val="24"/>
          <w:lang w:eastAsia="zh-CN"/>
        </w:rPr>
      </w:pPr>
      <w:r>
        <w:rPr>
          <w:rFonts w:cstheme="minorHAnsi"/>
          <w:b/>
          <w:bCs/>
          <w:kern w:val="2"/>
          <w:szCs w:val="24"/>
          <w:lang w:eastAsia="zh-CN"/>
        </w:rPr>
        <w:t xml:space="preserve">Task Group 113 members </w:t>
      </w:r>
      <w:r>
        <w:rPr>
          <w:rFonts w:cstheme="minorHAnsi"/>
          <w:b/>
          <w:bCs/>
          <w:i/>
          <w:iCs/>
          <w:kern w:val="2"/>
          <w:szCs w:val="24"/>
          <w:lang w:eastAsia="zh-CN"/>
        </w:rPr>
        <w:t>(2019</w:t>
      </w:r>
      <w:r>
        <w:rPr>
          <w:rFonts w:cstheme="minorHAnsi"/>
          <w:i/>
          <w:iCs/>
          <w:kern w:val="2"/>
          <w:szCs w:val="24"/>
          <w:lang w:eastAsia="zh-CN"/>
        </w:rPr>
        <w:t>–</w:t>
      </w:r>
      <w:r>
        <w:rPr>
          <w:rFonts w:cstheme="minorHAnsi"/>
          <w:b/>
          <w:bCs/>
          <w:i/>
          <w:iCs/>
          <w:kern w:val="2"/>
          <w:szCs w:val="24"/>
          <w:lang w:eastAsia="zh-CN"/>
        </w:rPr>
        <w:t>present)</w:t>
      </w:r>
    </w:p>
    <w:tbl>
      <w:tblPr>
        <w:tblW w:w="8380" w:type="dxa"/>
        <w:tblInd w:w="-108" w:type="dxa"/>
        <w:tblLook w:val="0000" w:firstRow="0" w:lastRow="0" w:firstColumn="0" w:lastColumn="0" w:noHBand="0" w:noVBand="0"/>
      </w:tblPr>
      <w:tblGrid>
        <w:gridCol w:w="3510"/>
        <w:gridCol w:w="2268"/>
        <w:gridCol w:w="2602"/>
      </w:tblGrid>
      <w:tr w:rsidR="00E72CA9" w14:paraId="4E554231" w14:textId="77777777">
        <w:tc>
          <w:tcPr>
            <w:tcW w:w="3510" w:type="dxa"/>
            <w:shd w:val="clear" w:color="auto" w:fill="auto"/>
          </w:tcPr>
          <w:p w14:paraId="5ABBB6CF"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N. Petoussi-Henss (Co-Chair)</w:t>
            </w:r>
          </w:p>
        </w:tc>
        <w:tc>
          <w:tcPr>
            <w:tcW w:w="2268" w:type="dxa"/>
            <w:shd w:val="clear" w:color="auto" w:fill="auto"/>
          </w:tcPr>
          <w:p w14:paraId="6E60FF82"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K. Jones</w:t>
            </w:r>
          </w:p>
        </w:tc>
        <w:tc>
          <w:tcPr>
            <w:tcW w:w="2602" w:type="dxa"/>
            <w:shd w:val="clear" w:color="auto" w:fill="auto"/>
          </w:tcPr>
          <w:p w14:paraId="1A37160A"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D.L. Miller</w:t>
            </w:r>
          </w:p>
        </w:tc>
      </w:tr>
      <w:tr w:rsidR="00E72CA9" w14:paraId="13637AB1" w14:textId="77777777">
        <w:tc>
          <w:tcPr>
            <w:tcW w:w="3510" w:type="dxa"/>
            <w:shd w:val="clear" w:color="auto" w:fill="auto"/>
          </w:tcPr>
          <w:p w14:paraId="37D9335C"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D. Sutton (Co-Chair)</w:t>
            </w:r>
          </w:p>
        </w:tc>
        <w:tc>
          <w:tcPr>
            <w:tcW w:w="2268" w:type="dxa"/>
            <w:shd w:val="clear" w:color="auto" w:fill="auto"/>
          </w:tcPr>
          <w:p w14:paraId="229416EE"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C.H. Kim</w:t>
            </w:r>
          </w:p>
        </w:tc>
        <w:tc>
          <w:tcPr>
            <w:tcW w:w="2602" w:type="dxa"/>
            <w:shd w:val="clear" w:color="auto" w:fill="auto"/>
          </w:tcPr>
          <w:p w14:paraId="26407F61"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H. Schlattl</w:t>
            </w:r>
          </w:p>
        </w:tc>
      </w:tr>
      <w:tr w:rsidR="00E72CA9" w14:paraId="3C86F0F0" w14:textId="77777777">
        <w:tc>
          <w:tcPr>
            <w:tcW w:w="3510" w:type="dxa"/>
            <w:shd w:val="clear" w:color="auto" w:fill="auto"/>
          </w:tcPr>
          <w:p w14:paraId="6A669298"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K. Applegate</w:t>
            </w:r>
          </w:p>
        </w:tc>
        <w:tc>
          <w:tcPr>
            <w:tcW w:w="2268" w:type="dxa"/>
            <w:shd w:val="clear" w:color="auto" w:fill="auto"/>
          </w:tcPr>
          <w:p w14:paraId="7C12B731" w14:textId="77777777" w:rsidR="00E72CA9" w:rsidRDefault="00D516E3">
            <w:pPr>
              <w:widowControl w:val="0"/>
              <w:suppressAutoHyphens/>
              <w:snapToGrid w:val="0"/>
              <w:textAlignment w:val="baseline"/>
              <w:rPr>
                <w:rFonts w:cstheme="minorHAnsi"/>
                <w:kern w:val="2"/>
                <w:szCs w:val="24"/>
                <w:lang w:eastAsia="zh-CN"/>
              </w:rPr>
            </w:pPr>
            <w:r>
              <w:rPr>
                <w:rFonts w:cstheme="minorHAnsi"/>
                <w:kern w:val="2"/>
                <w:szCs w:val="24"/>
                <w:lang w:eastAsia="zh-CN"/>
              </w:rPr>
              <w:t>C. Lee</w:t>
            </w:r>
          </w:p>
        </w:tc>
        <w:tc>
          <w:tcPr>
            <w:tcW w:w="2602" w:type="dxa"/>
            <w:shd w:val="clear" w:color="auto" w:fill="auto"/>
          </w:tcPr>
          <w:p w14:paraId="750ADB2B" w14:textId="77777777" w:rsidR="00E72CA9" w:rsidRDefault="00D516E3">
            <w:pPr>
              <w:widowControl w:val="0"/>
              <w:suppressAutoHyphens/>
              <w:snapToGrid w:val="0"/>
              <w:textAlignment w:val="baseline"/>
              <w:rPr>
                <w:rFonts w:cstheme="minorHAnsi"/>
                <w:kern w:val="2"/>
                <w:szCs w:val="24"/>
                <w:lang w:eastAsia="zh-CN"/>
              </w:rPr>
            </w:pPr>
            <w:r>
              <w:rPr>
                <w:rFonts w:cstheme="minorHAnsi"/>
                <w:kern w:val="2"/>
                <w:szCs w:val="24"/>
                <w:lang w:eastAsia="zh-CN"/>
              </w:rPr>
              <w:t>I. Sechopoulos</w:t>
            </w:r>
          </w:p>
        </w:tc>
      </w:tr>
      <w:tr w:rsidR="00E72CA9" w14:paraId="2DDAD603" w14:textId="77777777">
        <w:tc>
          <w:tcPr>
            <w:tcW w:w="3510" w:type="dxa"/>
            <w:shd w:val="clear" w:color="auto" w:fill="auto"/>
          </w:tcPr>
          <w:p w14:paraId="1FD60BD2"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W.E. Bolch</w:t>
            </w:r>
          </w:p>
        </w:tc>
        <w:tc>
          <w:tcPr>
            <w:tcW w:w="2268" w:type="dxa"/>
            <w:shd w:val="clear" w:color="auto" w:fill="auto"/>
          </w:tcPr>
          <w:p w14:paraId="71902897" w14:textId="77777777" w:rsidR="00E72CA9" w:rsidRDefault="00D516E3">
            <w:pPr>
              <w:widowControl w:val="0"/>
              <w:suppressAutoHyphens/>
              <w:snapToGrid w:val="0"/>
              <w:textAlignment w:val="baseline"/>
              <w:rPr>
                <w:rFonts w:cstheme="minorHAnsi"/>
                <w:kern w:val="2"/>
                <w:szCs w:val="24"/>
                <w:lang w:eastAsia="zh-CN"/>
              </w:rPr>
            </w:pPr>
            <w:r>
              <w:rPr>
                <w:rFonts w:cstheme="minorHAnsi"/>
                <w:kern w:val="2"/>
                <w:szCs w:val="24"/>
                <w:lang w:eastAsia="zh-CN"/>
              </w:rPr>
              <w:t>J. Li</w:t>
            </w:r>
          </w:p>
        </w:tc>
        <w:tc>
          <w:tcPr>
            <w:tcW w:w="2602" w:type="dxa"/>
            <w:shd w:val="clear" w:color="auto" w:fill="auto"/>
          </w:tcPr>
          <w:p w14:paraId="427216A0" w14:textId="77777777" w:rsidR="00E72CA9" w:rsidRDefault="00D516E3">
            <w:pPr>
              <w:widowControl w:val="0"/>
              <w:suppressAutoHyphens/>
              <w:snapToGrid w:val="0"/>
              <w:textAlignment w:val="baseline"/>
              <w:rPr>
                <w:rFonts w:cstheme="minorHAnsi"/>
                <w:kern w:val="2"/>
                <w:szCs w:val="24"/>
                <w:lang w:eastAsia="zh-CN"/>
              </w:rPr>
            </w:pPr>
            <w:r>
              <w:rPr>
                <w:rFonts w:cstheme="minorHAnsi"/>
                <w:kern w:val="2"/>
                <w:szCs w:val="24"/>
                <w:lang w:eastAsia="zh-CN"/>
              </w:rPr>
              <w:t>K. Wunderle</w:t>
            </w:r>
          </w:p>
        </w:tc>
      </w:tr>
      <w:tr w:rsidR="00E72CA9" w14:paraId="62C18846" w14:textId="77777777">
        <w:tc>
          <w:tcPr>
            <w:tcW w:w="3510" w:type="dxa"/>
            <w:shd w:val="clear" w:color="auto" w:fill="auto"/>
          </w:tcPr>
          <w:p w14:paraId="3F50FB6B"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D. Borrego</w:t>
            </w:r>
          </w:p>
        </w:tc>
        <w:tc>
          <w:tcPr>
            <w:tcW w:w="2268" w:type="dxa"/>
            <w:shd w:val="clear" w:color="auto" w:fill="auto"/>
          </w:tcPr>
          <w:p w14:paraId="20CA18E8" w14:textId="77777777" w:rsidR="00E72CA9" w:rsidRDefault="00D516E3">
            <w:pPr>
              <w:widowControl w:val="0"/>
              <w:suppressAutoHyphens/>
              <w:snapToGrid w:val="0"/>
              <w:textAlignment w:val="baseline"/>
              <w:rPr>
                <w:rFonts w:cstheme="minorHAnsi"/>
                <w:kern w:val="2"/>
                <w:szCs w:val="24"/>
                <w:lang w:eastAsia="zh-CN"/>
              </w:rPr>
            </w:pPr>
            <w:r>
              <w:rPr>
                <w:rFonts w:cstheme="minorHAnsi"/>
                <w:kern w:val="2"/>
                <w:szCs w:val="24"/>
                <w:lang w:eastAsia="zh-CN"/>
              </w:rPr>
              <w:t>S. Mann</w:t>
            </w:r>
          </w:p>
        </w:tc>
        <w:tc>
          <w:tcPr>
            <w:tcW w:w="2602" w:type="dxa"/>
            <w:shd w:val="clear" w:color="auto" w:fill="auto"/>
          </w:tcPr>
          <w:p w14:paraId="042A3861" w14:textId="77777777" w:rsidR="00E72CA9" w:rsidRDefault="00D516E3">
            <w:pPr>
              <w:widowControl w:val="0"/>
              <w:suppressAutoHyphens/>
              <w:snapToGrid w:val="0"/>
              <w:textAlignment w:val="baseline"/>
              <w:rPr>
                <w:rFonts w:cstheme="minorHAnsi"/>
                <w:kern w:val="2"/>
                <w:szCs w:val="24"/>
                <w:lang w:eastAsia="zh-CN"/>
              </w:rPr>
            </w:pPr>
            <w:r>
              <w:rPr>
                <w:rFonts w:cstheme="minorHAnsi"/>
                <w:kern w:val="2"/>
                <w:szCs w:val="24"/>
                <w:lang w:eastAsia="zh-CN"/>
              </w:rPr>
              <w:t>Y. S. Yeom</w:t>
            </w:r>
          </w:p>
        </w:tc>
      </w:tr>
      <w:tr w:rsidR="00E72CA9" w14:paraId="7148B1D8" w14:textId="77777777">
        <w:tc>
          <w:tcPr>
            <w:tcW w:w="3510" w:type="dxa"/>
            <w:shd w:val="clear" w:color="auto" w:fill="auto"/>
          </w:tcPr>
          <w:p w14:paraId="3595D79F" w14:textId="77777777" w:rsidR="00E72CA9" w:rsidRDefault="00D516E3">
            <w:pPr>
              <w:widowControl w:val="0"/>
              <w:suppressAutoHyphens/>
              <w:textAlignment w:val="baseline"/>
              <w:rPr>
                <w:rFonts w:cstheme="minorHAnsi"/>
                <w:kern w:val="2"/>
                <w:szCs w:val="24"/>
                <w:lang w:eastAsia="zh-CN"/>
              </w:rPr>
            </w:pPr>
            <w:r>
              <w:rPr>
                <w:rFonts w:cstheme="minorHAnsi"/>
                <w:kern w:val="2"/>
                <w:szCs w:val="24"/>
                <w:lang w:eastAsia="zh-CN"/>
              </w:rPr>
              <w:t>J.T.M. Jansen</w:t>
            </w:r>
          </w:p>
        </w:tc>
        <w:tc>
          <w:tcPr>
            <w:tcW w:w="2268" w:type="dxa"/>
            <w:shd w:val="clear" w:color="auto" w:fill="auto"/>
          </w:tcPr>
          <w:p w14:paraId="507DC1B5" w14:textId="77777777" w:rsidR="00E72CA9" w:rsidRDefault="00D516E3">
            <w:pPr>
              <w:widowControl w:val="0"/>
              <w:suppressAutoHyphens/>
              <w:snapToGrid w:val="0"/>
              <w:textAlignment w:val="baseline"/>
              <w:rPr>
                <w:rFonts w:cstheme="minorHAnsi"/>
                <w:kern w:val="2"/>
                <w:szCs w:val="24"/>
                <w:lang w:eastAsia="zh-CN"/>
              </w:rPr>
            </w:pPr>
            <w:r>
              <w:rPr>
                <w:rFonts w:cstheme="minorHAnsi"/>
                <w:kern w:val="2"/>
                <w:szCs w:val="24"/>
                <w:lang w:eastAsia="zh-CN"/>
              </w:rPr>
              <w:t>E. Marshall</w:t>
            </w:r>
          </w:p>
        </w:tc>
        <w:tc>
          <w:tcPr>
            <w:tcW w:w="2602" w:type="dxa"/>
            <w:shd w:val="clear" w:color="auto" w:fill="auto"/>
          </w:tcPr>
          <w:p w14:paraId="037D1985" w14:textId="77777777" w:rsidR="00E72CA9" w:rsidRDefault="00D516E3">
            <w:pPr>
              <w:widowControl w:val="0"/>
              <w:suppressAutoHyphens/>
              <w:snapToGrid w:val="0"/>
              <w:textAlignment w:val="baseline"/>
              <w:rPr>
                <w:rFonts w:cstheme="minorHAnsi"/>
                <w:kern w:val="2"/>
                <w:szCs w:val="24"/>
                <w:lang w:eastAsia="zh-CN"/>
              </w:rPr>
            </w:pPr>
            <w:r>
              <w:rPr>
                <w:rFonts w:cstheme="minorHAnsi"/>
                <w:kern w:val="2"/>
                <w:szCs w:val="24"/>
                <w:lang w:eastAsia="zh-CN"/>
              </w:rPr>
              <w:t>M. Zankl</w:t>
            </w:r>
          </w:p>
        </w:tc>
      </w:tr>
    </w:tbl>
    <w:p w14:paraId="0CDBA3F5" w14:textId="77777777" w:rsidR="00E72CA9" w:rsidRDefault="00D516E3">
      <w:pPr>
        <w:widowControl w:val="0"/>
        <w:suppressAutoHyphens/>
        <w:spacing w:before="240" w:after="240"/>
        <w:jc w:val="both"/>
        <w:textAlignment w:val="baseline"/>
        <w:rPr>
          <w:rFonts w:cstheme="minorHAnsi"/>
          <w:b/>
          <w:bCs/>
          <w:kern w:val="2"/>
          <w:szCs w:val="24"/>
          <w:lang w:eastAsia="zh-CN"/>
        </w:rPr>
      </w:pPr>
      <w:r>
        <w:rPr>
          <w:rFonts w:cstheme="minorHAnsi"/>
          <w:b/>
          <w:bCs/>
          <w:kern w:val="2"/>
          <w:szCs w:val="24"/>
          <w:lang w:eastAsia="zh-CN"/>
        </w:rPr>
        <w:t>Task Group 113 technical secretary</w:t>
      </w:r>
    </w:p>
    <w:p w14:paraId="612DA47A" w14:textId="77777777" w:rsidR="00E72CA9" w:rsidRDefault="00D516E3">
      <w:pPr>
        <w:widowControl w:val="0"/>
        <w:suppressAutoHyphens/>
        <w:spacing w:before="240" w:after="240"/>
        <w:jc w:val="both"/>
        <w:textAlignment w:val="baseline"/>
        <w:rPr>
          <w:rFonts w:cstheme="minorHAnsi"/>
          <w:kern w:val="2"/>
          <w:szCs w:val="24"/>
          <w:lang w:eastAsia="zh-CN"/>
        </w:rPr>
      </w:pPr>
      <w:r>
        <w:rPr>
          <w:rFonts w:cstheme="minorHAnsi"/>
          <w:kern w:val="2"/>
          <w:szCs w:val="24"/>
          <w:lang w:eastAsia="zh-CN"/>
        </w:rPr>
        <w:t>B. Brevitt</w:t>
      </w:r>
    </w:p>
    <w:p w14:paraId="2F0BB82F" w14:textId="77777777" w:rsidR="00E72CA9" w:rsidRDefault="00D516E3">
      <w:pPr>
        <w:widowControl w:val="0"/>
        <w:suppressAutoHyphens/>
        <w:spacing w:before="240" w:after="240"/>
        <w:jc w:val="both"/>
        <w:textAlignment w:val="baseline"/>
        <w:rPr>
          <w:rFonts w:cstheme="minorHAnsi"/>
          <w:b/>
          <w:bCs/>
          <w:kern w:val="2"/>
          <w:szCs w:val="24"/>
          <w:lang w:eastAsia="zh-CN"/>
        </w:rPr>
      </w:pPr>
      <w:r>
        <w:rPr>
          <w:rFonts w:cstheme="minorHAnsi"/>
          <w:b/>
          <w:bCs/>
          <w:kern w:val="2"/>
          <w:szCs w:val="24"/>
          <w:lang w:eastAsia="zh-CN"/>
        </w:rPr>
        <w:t>Committee 2 Critical Reviewer</w:t>
      </w:r>
    </w:p>
    <w:p w14:paraId="6FA5B112" w14:textId="77777777" w:rsidR="00E72CA9" w:rsidRDefault="00D516E3">
      <w:pPr>
        <w:widowControl w:val="0"/>
        <w:suppressAutoHyphens/>
        <w:spacing w:before="240" w:after="240"/>
        <w:jc w:val="both"/>
        <w:textAlignment w:val="baseline"/>
        <w:rPr>
          <w:rFonts w:cstheme="minorHAnsi"/>
          <w:kern w:val="2"/>
          <w:szCs w:val="24"/>
          <w:lang w:eastAsia="zh-CN"/>
        </w:rPr>
      </w:pPr>
      <w:r>
        <w:rPr>
          <w:rFonts w:cstheme="minorHAnsi"/>
          <w:kern w:val="2"/>
          <w:szCs w:val="24"/>
          <w:lang w:eastAsia="zh-CN"/>
        </w:rPr>
        <w:t>A. Giussani</w:t>
      </w:r>
    </w:p>
    <w:p w14:paraId="4287031D" w14:textId="77777777" w:rsidR="00E72CA9" w:rsidRDefault="00D516E3">
      <w:pPr>
        <w:widowControl w:val="0"/>
        <w:suppressAutoHyphens/>
        <w:spacing w:before="240" w:after="240"/>
        <w:jc w:val="both"/>
        <w:textAlignment w:val="baseline"/>
        <w:rPr>
          <w:rFonts w:cstheme="minorHAnsi"/>
          <w:b/>
          <w:bCs/>
          <w:kern w:val="2"/>
          <w:szCs w:val="24"/>
          <w:lang w:eastAsia="zh-CN"/>
        </w:rPr>
      </w:pPr>
      <w:r>
        <w:rPr>
          <w:rFonts w:cstheme="minorHAnsi"/>
          <w:b/>
          <w:bCs/>
          <w:kern w:val="2"/>
          <w:szCs w:val="24"/>
          <w:lang w:eastAsia="zh-CN"/>
        </w:rPr>
        <w:t>Committee 3 Critical Reviewer</w:t>
      </w:r>
    </w:p>
    <w:p w14:paraId="508F47E0" w14:textId="77777777" w:rsidR="00E72CA9" w:rsidRDefault="00D516E3">
      <w:pPr>
        <w:widowControl w:val="0"/>
        <w:suppressAutoHyphens/>
        <w:spacing w:after="120"/>
        <w:jc w:val="both"/>
        <w:textAlignment w:val="baseline"/>
        <w:rPr>
          <w:rFonts w:cstheme="minorHAnsi"/>
          <w:kern w:val="2"/>
          <w:szCs w:val="24"/>
          <w:lang w:eastAsia="zh-CN"/>
        </w:rPr>
      </w:pPr>
      <w:r>
        <w:rPr>
          <w:rFonts w:cstheme="minorHAnsi"/>
          <w:kern w:val="2"/>
          <w:szCs w:val="24"/>
          <w:lang w:eastAsia="zh-CN"/>
        </w:rPr>
        <w:t>C.J. Martin</w:t>
      </w:r>
    </w:p>
    <w:p w14:paraId="23C53C23" w14:textId="77777777" w:rsidR="00E72CA9" w:rsidRDefault="00D516E3">
      <w:pPr>
        <w:widowControl w:val="0"/>
        <w:suppressAutoHyphens/>
        <w:spacing w:before="240" w:after="240"/>
        <w:jc w:val="both"/>
        <w:textAlignment w:val="baseline"/>
        <w:rPr>
          <w:rFonts w:cstheme="minorHAnsi"/>
          <w:b/>
          <w:bCs/>
          <w:kern w:val="2"/>
          <w:szCs w:val="24"/>
          <w:lang w:eastAsia="zh-CN"/>
        </w:rPr>
      </w:pPr>
      <w:r>
        <w:rPr>
          <w:rFonts w:cstheme="minorHAnsi"/>
          <w:b/>
          <w:bCs/>
          <w:kern w:val="2"/>
          <w:szCs w:val="24"/>
          <w:lang w:eastAsia="zh-CN"/>
        </w:rPr>
        <w:t>Main Commission Critical reviewers</w:t>
      </w:r>
    </w:p>
    <w:p w14:paraId="60A0C36F" w14:textId="77777777" w:rsidR="00E72CA9" w:rsidRDefault="00D516E3">
      <w:pPr>
        <w:widowControl w:val="0"/>
        <w:suppressAutoHyphens/>
        <w:spacing w:after="120"/>
        <w:jc w:val="both"/>
        <w:textAlignment w:val="baseline"/>
        <w:rPr>
          <w:rFonts w:cstheme="minorHAnsi"/>
          <w:kern w:val="2"/>
          <w:szCs w:val="24"/>
          <w:lang w:eastAsia="zh-CN"/>
        </w:rPr>
      </w:pPr>
      <w:r>
        <w:rPr>
          <w:rFonts w:eastAsia="Times New Roman" w:cstheme="minorHAnsi"/>
          <w:szCs w:val="24"/>
        </w:rPr>
        <w:t>D. Laurier</w:t>
      </w:r>
      <w:r>
        <w:rPr>
          <w:rFonts w:cstheme="minorHAnsi"/>
          <w:kern w:val="2"/>
          <w:szCs w:val="24"/>
          <w:lang w:eastAsia="zh-CN"/>
        </w:rPr>
        <w:tab/>
      </w:r>
      <w:r>
        <w:rPr>
          <w:rFonts w:cstheme="minorHAnsi"/>
          <w:kern w:val="2"/>
          <w:szCs w:val="24"/>
          <w:lang w:eastAsia="zh-CN"/>
        </w:rPr>
        <w:tab/>
      </w:r>
      <w:r>
        <w:rPr>
          <w:rFonts w:cstheme="minorHAnsi"/>
          <w:kern w:val="2"/>
          <w:szCs w:val="24"/>
          <w:lang w:eastAsia="zh-CN"/>
        </w:rPr>
        <w:tab/>
      </w:r>
      <w:r>
        <w:rPr>
          <w:rFonts w:eastAsia="Times New Roman" w:cstheme="minorHAnsi"/>
          <w:szCs w:val="24"/>
        </w:rPr>
        <w:t>W. Rühm</w:t>
      </w:r>
    </w:p>
    <w:p w14:paraId="1276666C" w14:textId="77777777" w:rsidR="00E72CA9" w:rsidRDefault="00D516E3">
      <w:pPr>
        <w:widowControl w:val="0"/>
        <w:suppressAutoHyphens/>
        <w:spacing w:before="240" w:after="240"/>
        <w:jc w:val="both"/>
        <w:textAlignment w:val="baseline"/>
        <w:rPr>
          <w:rFonts w:cstheme="minorHAnsi"/>
          <w:b/>
          <w:bCs/>
          <w:kern w:val="2"/>
          <w:szCs w:val="24"/>
          <w:lang w:eastAsia="zh-CN"/>
        </w:rPr>
      </w:pPr>
      <w:r>
        <w:rPr>
          <w:rFonts w:cstheme="minorHAnsi"/>
          <w:b/>
          <w:bCs/>
          <w:kern w:val="2"/>
          <w:szCs w:val="24"/>
          <w:lang w:eastAsia="zh-CN"/>
        </w:rPr>
        <w:t>Editorial members</w:t>
      </w:r>
    </w:p>
    <w:p w14:paraId="634402B1"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 xml:space="preserve">C.H. Clement (Scientific Secretary and </w:t>
      </w:r>
      <w:r>
        <w:rPr>
          <w:rFonts w:cstheme="minorHAnsi"/>
          <w:i/>
          <w:iCs/>
          <w:kern w:val="2"/>
          <w:szCs w:val="24"/>
          <w:lang w:eastAsia="zh-CN"/>
        </w:rPr>
        <w:t>Annals of the ICRP</w:t>
      </w:r>
      <w:r>
        <w:rPr>
          <w:rFonts w:cstheme="minorHAnsi"/>
          <w:kern w:val="2"/>
          <w:szCs w:val="24"/>
          <w:lang w:eastAsia="zh-CN"/>
        </w:rPr>
        <w:t xml:space="preserve"> Editor-in-Chief)</w:t>
      </w:r>
    </w:p>
    <w:p w14:paraId="432828C0"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 xml:space="preserve">T. Yasumune (Assistant Scientific Secretary and </w:t>
      </w:r>
      <w:r>
        <w:rPr>
          <w:rFonts w:cstheme="minorHAnsi"/>
          <w:i/>
          <w:iCs/>
          <w:kern w:val="2"/>
          <w:szCs w:val="24"/>
          <w:lang w:eastAsia="zh-CN"/>
        </w:rPr>
        <w:t>Annals of the ICRP</w:t>
      </w:r>
      <w:r>
        <w:rPr>
          <w:rFonts w:cstheme="minorHAnsi"/>
          <w:kern w:val="2"/>
          <w:szCs w:val="24"/>
          <w:lang w:eastAsia="zh-CN"/>
        </w:rPr>
        <w:t xml:space="preserve"> Associate Editor)</w:t>
      </w:r>
    </w:p>
    <w:p w14:paraId="76B02F87" w14:textId="77777777" w:rsidR="00E72CA9" w:rsidRDefault="00D516E3">
      <w:pPr>
        <w:widowControl w:val="0"/>
        <w:suppressAutoHyphens/>
        <w:jc w:val="both"/>
        <w:textAlignment w:val="baseline"/>
        <w:rPr>
          <w:rFonts w:cstheme="minorHAnsi"/>
          <w:i/>
          <w:iCs/>
          <w:kern w:val="2"/>
          <w:szCs w:val="24"/>
          <w:lang w:eastAsia="zh-CN"/>
        </w:rPr>
      </w:pPr>
      <w:r>
        <w:rPr>
          <w:rFonts w:cstheme="minorHAnsi"/>
          <w:i/>
          <w:iCs/>
          <w:kern w:val="2"/>
          <w:szCs w:val="24"/>
          <w:lang w:eastAsia="zh-CN"/>
        </w:rPr>
        <w:t>(2022–2024)</w:t>
      </w:r>
    </w:p>
    <w:p w14:paraId="601C4FD1"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 xml:space="preserve">K. Nakamura (Assistant Scientific Secretary and </w:t>
      </w:r>
      <w:r>
        <w:rPr>
          <w:rFonts w:cstheme="minorHAnsi"/>
          <w:i/>
          <w:iCs/>
          <w:kern w:val="2"/>
          <w:szCs w:val="24"/>
          <w:lang w:eastAsia="zh-CN"/>
        </w:rPr>
        <w:t>Annals of the ICRP</w:t>
      </w:r>
      <w:r>
        <w:rPr>
          <w:rFonts w:cstheme="minorHAnsi"/>
          <w:kern w:val="2"/>
          <w:szCs w:val="24"/>
          <w:lang w:eastAsia="zh-CN"/>
        </w:rPr>
        <w:t xml:space="preserve"> Associate Editor)</w:t>
      </w:r>
    </w:p>
    <w:p w14:paraId="392EF5D8" w14:textId="77777777" w:rsidR="00E72CA9" w:rsidRDefault="00D516E3">
      <w:pPr>
        <w:widowControl w:val="0"/>
        <w:suppressAutoHyphens/>
        <w:jc w:val="both"/>
        <w:textAlignment w:val="baseline"/>
        <w:rPr>
          <w:rFonts w:cstheme="minorHAnsi"/>
          <w:i/>
          <w:iCs/>
          <w:kern w:val="2"/>
          <w:szCs w:val="24"/>
          <w:lang w:eastAsia="zh-CN"/>
        </w:rPr>
      </w:pPr>
      <w:r>
        <w:rPr>
          <w:rFonts w:cstheme="minorHAnsi"/>
          <w:i/>
          <w:iCs/>
          <w:kern w:val="2"/>
          <w:szCs w:val="24"/>
          <w:lang w:eastAsia="zh-CN"/>
        </w:rPr>
        <w:t>(2024–)</w:t>
      </w:r>
      <w:r>
        <w:rPr>
          <w:rFonts w:cstheme="minorHAnsi"/>
          <w:kern w:val="2"/>
          <w:szCs w:val="24"/>
          <w:lang w:eastAsia="zh-CN"/>
        </w:rPr>
        <w:br w:type="page"/>
      </w:r>
    </w:p>
    <w:p w14:paraId="599A2F0B" w14:textId="77777777" w:rsidR="00E72CA9" w:rsidRDefault="00D516E3">
      <w:pPr>
        <w:pStyle w:val="ICRPbasic"/>
        <w:rPr>
          <w:b/>
          <w:bCs/>
        </w:rPr>
      </w:pPr>
      <w:r>
        <w:rPr>
          <w:b/>
          <w:bCs/>
        </w:rPr>
        <w:lastRenderedPageBreak/>
        <w:t>Committee 2 members during preparation of this publication</w:t>
      </w:r>
    </w:p>
    <w:p w14:paraId="0B0B8F18" w14:textId="77777777" w:rsidR="00E72CA9" w:rsidRDefault="00D516E3">
      <w:pPr>
        <w:pStyle w:val="ICRPbasic"/>
        <w:rPr>
          <w:i/>
          <w:iCs/>
        </w:rPr>
      </w:pPr>
      <w:r>
        <w:rPr>
          <w:i/>
          <w:iCs/>
        </w:rPr>
        <w:t>(2017–2021)</w:t>
      </w:r>
    </w:p>
    <w:tbl>
      <w:tblPr>
        <w:tblW w:w="0" w:type="auto"/>
        <w:tblLayout w:type="fixed"/>
        <w:tblLook w:val="01E0" w:firstRow="1" w:lastRow="1" w:firstColumn="1" w:lastColumn="1" w:noHBand="0" w:noVBand="0"/>
      </w:tblPr>
      <w:tblGrid>
        <w:gridCol w:w="2842"/>
        <w:gridCol w:w="2843"/>
        <w:gridCol w:w="2843"/>
      </w:tblGrid>
      <w:tr w:rsidR="00E72CA9" w14:paraId="5E63645F" w14:textId="77777777">
        <w:tc>
          <w:tcPr>
            <w:tcW w:w="2842" w:type="dxa"/>
            <w:shd w:val="clear" w:color="auto" w:fill="auto"/>
          </w:tcPr>
          <w:p w14:paraId="557D33E1" w14:textId="77777777" w:rsidR="00E72CA9" w:rsidRDefault="00D516E3">
            <w:pPr>
              <w:pStyle w:val="ICRPbasicnospace"/>
            </w:pPr>
            <w:r>
              <w:t>J.D. Harrison (Chair)</w:t>
            </w:r>
          </w:p>
          <w:p w14:paraId="3F3C265D" w14:textId="77777777" w:rsidR="00E72CA9" w:rsidRDefault="00D516E3">
            <w:pPr>
              <w:pStyle w:val="ICRPbasicnospace"/>
            </w:pPr>
            <w:r>
              <w:t>F. Paquet (Vice-Chair)</w:t>
            </w:r>
          </w:p>
          <w:p w14:paraId="01989FA5" w14:textId="77777777" w:rsidR="00E72CA9" w:rsidRDefault="00D516E3">
            <w:pPr>
              <w:pStyle w:val="ICRPbasicnospace"/>
              <w:rPr>
                <w:lang w:val="en-US"/>
              </w:rPr>
            </w:pPr>
            <w:r>
              <w:rPr>
                <w:lang w:val="en-US"/>
              </w:rPr>
              <w:t>W.E. Bolch (Secretary)</w:t>
            </w:r>
          </w:p>
          <w:p w14:paraId="573138F5" w14:textId="77777777" w:rsidR="00E72CA9" w:rsidRDefault="00D516E3">
            <w:pPr>
              <w:pStyle w:val="ICRPbasicnospace"/>
              <w:rPr>
                <w:lang w:val="en-US"/>
              </w:rPr>
            </w:pPr>
            <w:r>
              <w:rPr>
                <w:lang w:val="en-US"/>
              </w:rPr>
              <w:t>M. Antonia Lopez</w:t>
            </w:r>
          </w:p>
          <w:p w14:paraId="1662FBCE" w14:textId="77777777" w:rsidR="00E72CA9" w:rsidRDefault="00D516E3">
            <w:pPr>
              <w:pStyle w:val="ICRPbasicnospace"/>
              <w:rPr>
                <w:lang w:val="it-IT"/>
              </w:rPr>
            </w:pPr>
            <w:r>
              <w:rPr>
                <w:lang w:val="it-IT"/>
              </w:rPr>
              <w:t>V. Berkovski</w:t>
            </w:r>
          </w:p>
        </w:tc>
        <w:tc>
          <w:tcPr>
            <w:tcW w:w="2843" w:type="dxa"/>
            <w:shd w:val="clear" w:color="auto" w:fill="auto"/>
          </w:tcPr>
          <w:p w14:paraId="6E62C2E2" w14:textId="77777777" w:rsidR="00E72CA9" w:rsidRDefault="00D516E3">
            <w:pPr>
              <w:pStyle w:val="ICRPbasicnospace"/>
              <w:rPr>
                <w:lang w:val="it-IT"/>
              </w:rPr>
            </w:pPr>
            <w:r>
              <w:rPr>
                <w:lang w:val="it-IT"/>
              </w:rPr>
              <w:t>A. Giussani</w:t>
            </w:r>
          </w:p>
          <w:p w14:paraId="5DDB4904" w14:textId="77777777" w:rsidR="00E72CA9" w:rsidRDefault="00D516E3">
            <w:pPr>
              <w:pStyle w:val="ICRPbasicnospace"/>
              <w:rPr>
                <w:lang w:val="it-IT"/>
              </w:rPr>
            </w:pPr>
            <w:r>
              <w:rPr>
                <w:lang w:val="it-IT"/>
              </w:rPr>
              <w:t>D. Jokisch</w:t>
            </w:r>
          </w:p>
          <w:p w14:paraId="408D1477" w14:textId="77777777" w:rsidR="00E72CA9" w:rsidRDefault="00D516E3">
            <w:pPr>
              <w:pStyle w:val="ICRPbasicnospace"/>
              <w:rPr>
                <w:lang w:val="it-IT"/>
              </w:rPr>
            </w:pPr>
            <w:r>
              <w:rPr>
                <w:lang w:val="it-IT"/>
              </w:rPr>
              <w:t>C.H. Kim</w:t>
            </w:r>
          </w:p>
          <w:p w14:paraId="7F56F64A" w14:textId="77777777" w:rsidR="00E72CA9" w:rsidRDefault="00D516E3">
            <w:pPr>
              <w:pStyle w:val="ICRPbasicnospace"/>
              <w:rPr>
                <w:lang w:val="sv-SE"/>
              </w:rPr>
            </w:pPr>
            <w:r>
              <w:rPr>
                <w:lang w:val="sv-SE"/>
              </w:rPr>
              <w:t>R. Leggett</w:t>
            </w:r>
          </w:p>
          <w:p w14:paraId="463365A6" w14:textId="77777777" w:rsidR="00E72CA9" w:rsidRDefault="00D516E3">
            <w:pPr>
              <w:pStyle w:val="ICRPbasicnospace"/>
            </w:pPr>
            <w:r>
              <w:t>J. Li</w:t>
            </w:r>
          </w:p>
        </w:tc>
        <w:tc>
          <w:tcPr>
            <w:tcW w:w="2843" w:type="dxa"/>
            <w:shd w:val="clear" w:color="auto" w:fill="auto"/>
          </w:tcPr>
          <w:p w14:paraId="3CCF7961" w14:textId="77777777" w:rsidR="00E72CA9" w:rsidRDefault="00D516E3">
            <w:pPr>
              <w:pStyle w:val="ICRPbasicnospace"/>
              <w:rPr>
                <w:lang w:val="it-IT"/>
              </w:rPr>
            </w:pPr>
            <w:r>
              <w:rPr>
                <w:lang w:val="it-IT"/>
              </w:rPr>
              <w:t>T. Sato</w:t>
            </w:r>
          </w:p>
          <w:p w14:paraId="7E70638A" w14:textId="77777777" w:rsidR="00E72CA9" w:rsidRDefault="00D516E3">
            <w:pPr>
              <w:pStyle w:val="ICRPbasicnospace"/>
              <w:rPr>
                <w:lang w:val="it-IT"/>
              </w:rPr>
            </w:pPr>
            <w:r>
              <w:rPr>
                <w:lang w:val="it-IT"/>
              </w:rPr>
              <w:t>T. Smith</w:t>
            </w:r>
          </w:p>
          <w:p w14:paraId="38A79527" w14:textId="77777777" w:rsidR="00E72CA9" w:rsidRDefault="00D516E3">
            <w:pPr>
              <w:pStyle w:val="ICRPbasicnospace"/>
              <w:rPr>
                <w:lang w:val="nb-NO"/>
              </w:rPr>
            </w:pPr>
            <w:r>
              <w:rPr>
                <w:lang w:val="nb-NO"/>
              </w:rPr>
              <w:t>A. Ulanowski</w:t>
            </w:r>
          </w:p>
          <w:p w14:paraId="1011C1ED" w14:textId="77777777" w:rsidR="00E72CA9" w:rsidRDefault="00D516E3">
            <w:pPr>
              <w:pStyle w:val="ICRPbasicnospace"/>
              <w:rPr>
                <w:lang w:val="nb-NO"/>
              </w:rPr>
            </w:pPr>
            <w:r>
              <w:rPr>
                <w:lang w:val="nb-NO"/>
              </w:rPr>
              <w:t>F. Wissmann</w:t>
            </w:r>
          </w:p>
          <w:p w14:paraId="144962E3" w14:textId="77777777" w:rsidR="00E72CA9" w:rsidRDefault="00E72CA9">
            <w:pPr>
              <w:pStyle w:val="ICRPbasicnospace"/>
              <w:rPr>
                <w:lang w:val="nb-NO"/>
              </w:rPr>
            </w:pPr>
          </w:p>
        </w:tc>
      </w:tr>
      <w:tr w:rsidR="00E72CA9" w14:paraId="52912039" w14:textId="77777777">
        <w:tc>
          <w:tcPr>
            <w:tcW w:w="2842" w:type="dxa"/>
            <w:shd w:val="clear" w:color="auto" w:fill="auto"/>
          </w:tcPr>
          <w:p w14:paraId="260E7C69" w14:textId="77777777" w:rsidR="00E72CA9" w:rsidRDefault="00D516E3">
            <w:pPr>
              <w:pStyle w:val="ICRPbasicnospace"/>
              <w:rPr>
                <w:lang w:val="nb-NO"/>
              </w:rPr>
            </w:pPr>
            <w:r>
              <w:rPr>
                <w:lang w:val="nb-NO"/>
              </w:rPr>
              <w:t>E. Blanchardon</w:t>
            </w:r>
          </w:p>
        </w:tc>
        <w:tc>
          <w:tcPr>
            <w:tcW w:w="2843" w:type="dxa"/>
            <w:shd w:val="clear" w:color="auto" w:fill="auto"/>
          </w:tcPr>
          <w:p w14:paraId="14C79134" w14:textId="77777777" w:rsidR="00E72CA9" w:rsidRDefault="00D516E3">
            <w:pPr>
              <w:pStyle w:val="ICRPbasicnospace"/>
              <w:rPr>
                <w:lang w:val="nb-NO"/>
              </w:rPr>
            </w:pPr>
            <w:r>
              <w:rPr>
                <w:lang w:val="nb-NO"/>
              </w:rPr>
              <w:t>N. Petoussi-Henss</w:t>
            </w:r>
          </w:p>
        </w:tc>
        <w:tc>
          <w:tcPr>
            <w:tcW w:w="2843" w:type="dxa"/>
            <w:shd w:val="clear" w:color="auto" w:fill="auto"/>
          </w:tcPr>
          <w:p w14:paraId="471A2F30" w14:textId="77777777" w:rsidR="00E72CA9" w:rsidRDefault="00E72CA9">
            <w:pPr>
              <w:pStyle w:val="ICRPbasicnospace"/>
              <w:rPr>
                <w:lang w:val="nb-NO"/>
              </w:rPr>
            </w:pPr>
          </w:p>
        </w:tc>
      </w:tr>
    </w:tbl>
    <w:p w14:paraId="248E181B" w14:textId="77777777" w:rsidR="00E72CA9" w:rsidRDefault="00E72CA9">
      <w:pPr>
        <w:pStyle w:val="ICRPbasicnospace"/>
        <w:rPr>
          <w:lang w:val="nb-NO"/>
        </w:rPr>
      </w:pPr>
    </w:p>
    <w:p w14:paraId="7A3F7EC6" w14:textId="77777777" w:rsidR="00E72CA9" w:rsidRDefault="00D516E3">
      <w:pPr>
        <w:pStyle w:val="ICRPbasic"/>
        <w:rPr>
          <w:i/>
          <w:iCs/>
        </w:rPr>
      </w:pPr>
      <w:r>
        <w:rPr>
          <w:i/>
          <w:iCs/>
        </w:rPr>
        <w:t>(2021–2025)</w:t>
      </w:r>
    </w:p>
    <w:tbl>
      <w:tblPr>
        <w:tblW w:w="0" w:type="auto"/>
        <w:tblLook w:val="01E0" w:firstRow="1" w:lastRow="1" w:firstColumn="1" w:lastColumn="1" w:noHBand="0" w:noVBand="0"/>
      </w:tblPr>
      <w:tblGrid>
        <w:gridCol w:w="2842"/>
        <w:gridCol w:w="2843"/>
        <w:gridCol w:w="2843"/>
      </w:tblGrid>
      <w:tr w:rsidR="00E72CA9" w14:paraId="360166E3" w14:textId="77777777">
        <w:trPr>
          <w:trHeight w:val="276"/>
        </w:trPr>
        <w:tc>
          <w:tcPr>
            <w:tcW w:w="2842" w:type="dxa"/>
            <w:shd w:val="clear" w:color="auto" w:fill="auto"/>
          </w:tcPr>
          <w:p w14:paraId="70EF7042" w14:textId="77777777" w:rsidR="00E72CA9" w:rsidRDefault="00D516E3">
            <w:pPr>
              <w:pStyle w:val="ICRPbasicnospace"/>
            </w:pPr>
            <w:r>
              <w:t>F. Bochud (Chair)</w:t>
            </w:r>
          </w:p>
          <w:p w14:paraId="2CB27768" w14:textId="77777777" w:rsidR="00E72CA9" w:rsidRDefault="00D516E3">
            <w:pPr>
              <w:pStyle w:val="ICRPbasicnospace"/>
            </w:pPr>
            <w:r>
              <w:t>F. Paquet (Vice-chair)</w:t>
            </w:r>
          </w:p>
        </w:tc>
        <w:tc>
          <w:tcPr>
            <w:tcW w:w="2843" w:type="dxa"/>
            <w:shd w:val="clear" w:color="auto" w:fill="auto"/>
          </w:tcPr>
          <w:p w14:paraId="559BAC1E" w14:textId="77777777" w:rsidR="00E72CA9" w:rsidRDefault="00D516E3">
            <w:pPr>
              <w:pStyle w:val="ICRPbasicnospace"/>
              <w:rPr>
                <w:lang w:val="de-DE"/>
              </w:rPr>
            </w:pPr>
            <w:r>
              <w:rPr>
                <w:lang w:val="de-DE"/>
              </w:rPr>
              <w:t>A. Giussani</w:t>
            </w:r>
          </w:p>
          <w:p w14:paraId="5026E4D9" w14:textId="77777777" w:rsidR="00E72CA9" w:rsidRDefault="00D516E3">
            <w:pPr>
              <w:pStyle w:val="ICRPbasicnospace"/>
              <w:rPr>
                <w:lang w:val="de-DE"/>
              </w:rPr>
            </w:pPr>
            <w:r>
              <w:rPr>
                <w:lang w:val="de-DE"/>
              </w:rPr>
              <w:t>D. Jokisch</w:t>
            </w:r>
          </w:p>
        </w:tc>
        <w:tc>
          <w:tcPr>
            <w:tcW w:w="2843" w:type="dxa"/>
            <w:shd w:val="clear" w:color="auto" w:fill="auto"/>
          </w:tcPr>
          <w:p w14:paraId="7F262C86" w14:textId="77777777" w:rsidR="00E72CA9" w:rsidRDefault="00D516E3">
            <w:pPr>
              <w:pStyle w:val="ICRPbasicnospace"/>
              <w:rPr>
                <w:lang w:val="it-IT"/>
              </w:rPr>
            </w:pPr>
            <w:r>
              <w:rPr>
                <w:lang w:val="it-IT"/>
              </w:rPr>
              <w:t>J. Li</w:t>
            </w:r>
          </w:p>
          <w:p w14:paraId="76870CC2" w14:textId="77777777" w:rsidR="00E72CA9" w:rsidRDefault="00D516E3">
            <w:pPr>
              <w:pStyle w:val="ICRPbasicnospace"/>
              <w:rPr>
                <w:lang w:val="it-IT"/>
              </w:rPr>
            </w:pPr>
            <w:r>
              <w:rPr>
                <w:lang w:val="it-IT"/>
              </w:rPr>
              <w:t>J.W. Marsh</w:t>
            </w:r>
          </w:p>
        </w:tc>
      </w:tr>
      <w:tr w:rsidR="00E72CA9" w14:paraId="19C23E66" w14:textId="77777777">
        <w:trPr>
          <w:trHeight w:val="276"/>
        </w:trPr>
        <w:tc>
          <w:tcPr>
            <w:tcW w:w="2842" w:type="dxa"/>
            <w:shd w:val="clear" w:color="auto" w:fill="auto"/>
          </w:tcPr>
          <w:p w14:paraId="6ED4E868" w14:textId="77777777" w:rsidR="00E72CA9" w:rsidRDefault="00D516E3">
            <w:pPr>
              <w:pStyle w:val="ICRPbasicnospace"/>
              <w:rPr>
                <w:sz w:val="22"/>
                <w:szCs w:val="22"/>
              </w:rPr>
            </w:pPr>
            <w:r>
              <w:rPr>
                <w:sz w:val="22"/>
                <w:szCs w:val="22"/>
              </w:rPr>
              <w:t>M. Antonia Lopez (Secretary)</w:t>
            </w:r>
          </w:p>
        </w:tc>
        <w:tc>
          <w:tcPr>
            <w:tcW w:w="2843" w:type="dxa"/>
            <w:shd w:val="clear" w:color="auto" w:fill="auto"/>
          </w:tcPr>
          <w:p w14:paraId="78E4C4BB" w14:textId="77777777" w:rsidR="00E72CA9" w:rsidRDefault="00D516E3">
            <w:pPr>
              <w:pStyle w:val="ICRPbasicnospace"/>
            </w:pPr>
            <w:r>
              <w:t>C.H. Kim</w:t>
            </w:r>
          </w:p>
        </w:tc>
        <w:tc>
          <w:tcPr>
            <w:tcW w:w="2843" w:type="dxa"/>
            <w:shd w:val="clear" w:color="auto" w:fill="auto"/>
          </w:tcPr>
          <w:p w14:paraId="7B5C29F3" w14:textId="77777777" w:rsidR="00E72CA9" w:rsidRDefault="00D516E3">
            <w:pPr>
              <w:pStyle w:val="ICRPbasicnospace"/>
            </w:pPr>
            <w:r>
              <w:t>N. Petoussi-Henss</w:t>
            </w:r>
          </w:p>
        </w:tc>
      </w:tr>
      <w:tr w:rsidR="00E72CA9" w14:paraId="671BAE74" w14:textId="77777777">
        <w:trPr>
          <w:trHeight w:val="276"/>
        </w:trPr>
        <w:tc>
          <w:tcPr>
            <w:tcW w:w="2842" w:type="dxa"/>
            <w:shd w:val="clear" w:color="auto" w:fill="auto"/>
          </w:tcPr>
          <w:p w14:paraId="4BE090EB" w14:textId="77777777" w:rsidR="00E72CA9" w:rsidRDefault="00D516E3">
            <w:pPr>
              <w:pStyle w:val="ICRPbasicnospace"/>
              <w:rPr>
                <w:lang w:val="sv-SE"/>
              </w:rPr>
            </w:pPr>
            <w:r>
              <w:rPr>
                <w:lang w:val="sv-SE"/>
              </w:rPr>
              <w:t>M. Andersson</w:t>
            </w:r>
          </w:p>
          <w:p w14:paraId="01245440" w14:textId="77777777" w:rsidR="00E72CA9" w:rsidRDefault="00D516E3">
            <w:pPr>
              <w:pStyle w:val="ICRPbasicnospace"/>
              <w:rPr>
                <w:lang w:val="sv-SE"/>
              </w:rPr>
            </w:pPr>
            <w:r>
              <w:rPr>
                <w:lang w:val="sv-SE"/>
              </w:rPr>
              <w:t>V. Berkovski</w:t>
            </w:r>
          </w:p>
        </w:tc>
        <w:tc>
          <w:tcPr>
            <w:tcW w:w="2843" w:type="dxa"/>
            <w:shd w:val="clear" w:color="auto" w:fill="auto"/>
          </w:tcPr>
          <w:p w14:paraId="69C0DCA9" w14:textId="77777777" w:rsidR="00E72CA9" w:rsidRDefault="00D516E3">
            <w:pPr>
              <w:pStyle w:val="ICRPbasicnospace"/>
              <w:rPr>
                <w:lang w:val="sv-SE"/>
              </w:rPr>
            </w:pPr>
            <w:r>
              <w:rPr>
                <w:lang w:val="sv-SE"/>
              </w:rPr>
              <w:t>M.S. Kulkarni</w:t>
            </w:r>
            <w:r>
              <w:rPr>
                <w:lang w:val="sv-SE"/>
              </w:rPr>
              <w:tab/>
            </w:r>
          </w:p>
          <w:p w14:paraId="26DE2F31" w14:textId="77777777" w:rsidR="00E72CA9" w:rsidRDefault="00D516E3">
            <w:pPr>
              <w:pStyle w:val="ICRPbasicnospace"/>
              <w:rPr>
                <w:lang w:val="sv-SE"/>
              </w:rPr>
            </w:pPr>
            <w:r>
              <w:rPr>
                <w:lang w:val="sv-SE"/>
              </w:rPr>
              <w:t>S. Lamart</w:t>
            </w:r>
          </w:p>
        </w:tc>
        <w:tc>
          <w:tcPr>
            <w:tcW w:w="2843" w:type="dxa"/>
            <w:shd w:val="clear" w:color="auto" w:fill="auto"/>
          </w:tcPr>
          <w:p w14:paraId="34C52A0B" w14:textId="77777777" w:rsidR="00E72CA9" w:rsidRDefault="00D516E3">
            <w:pPr>
              <w:pStyle w:val="ICRPbasicnospace"/>
            </w:pPr>
            <w:r>
              <w:t>T. Sato</w:t>
            </w:r>
          </w:p>
          <w:p w14:paraId="0AEAA72A" w14:textId="77777777" w:rsidR="00E72CA9" w:rsidRDefault="00D516E3">
            <w:pPr>
              <w:pStyle w:val="ICRPbasicnospace"/>
            </w:pPr>
            <w:r>
              <w:t>T. Smith</w:t>
            </w:r>
          </w:p>
        </w:tc>
      </w:tr>
      <w:tr w:rsidR="00E72CA9" w14:paraId="4649856E" w14:textId="77777777">
        <w:trPr>
          <w:trHeight w:val="276"/>
        </w:trPr>
        <w:tc>
          <w:tcPr>
            <w:tcW w:w="2842" w:type="dxa"/>
            <w:shd w:val="clear" w:color="auto" w:fill="auto"/>
          </w:tcPr>
          <w:p w14:paraId="2C007AD3" w14:textId="77777777" w:rsidR="00E72CA9" w:rsidRDefault="00D516E3">
            <w:pPr>
              <w:pStyle w:val="ICRPbasicnospace"/>
            </w:pPr>
            <w:r>
              <w:t>D. de Souza Santos</w:t>
            </w:r>
          </w:p>
        </w:tc>
        <w:tc>
          <w:tcPr>
            <w:tcW w:w="2843" w:type="dxa"/>
            <w:shd w:val="clear" w:color="auto" w:fill="auto"/>
          </w:tcPr>
          <w:p w14:paraId="2974AC99" w14:textId="77777777" w:rsidR="00E72CA9" w:rsidRDefault="00D516E3">
            <w:pPr>
              <w:pStyle w:val="ICRPbasicnospace"/>
            </w:pPr>
            <w:r>
              <w:t>C. Lee</w:t>
            </w:r>
          </w:p>
        </w:tc>
        <w:tc>
          <w:tcPr>
            <w:tcW w:w="2843" w:type="dxa"/>
            <w:shd w:val="clear" w:color="auto" w:fill="auto"/>
          </w:tcPr>
          <w:p w14:paraId="7C0E290B" w14:textId="77777777" w:rsidR="00E72CA9" w:rsidRDefault="00D516E3">
            <w:pPr>
              <w:pStyle w:val="ICRPbasicnospace"/>
            </w:pPr>
            <w:r>
              <w:t>A. Ulanowski</w:t>
            </w:r>
          </w:p>
        </w:tc>
      </w:tr>
    </w:tbl>
    <w:p w14:paraId="0D909F4F" w14:textId="77777777" w:rsidR="00E72CA9" w:rsidRDefault="00E72CA9">
      <w:pPr>
        <w:pStyle w:val="ICRPbasicnospace"/>
      </w:pPr>
    </w:p>
    <w:p w14:paraId="003C6515" w14:textId="77777777" w:rsidR="00E72CA9" w:rsidRDefault="00D516E3">
      <w:pPr>
        <w:pStyle w:val="ICRPbasic"/>
        <w:rPr>
          <w:b/>
          <w:bCs/>
        </w:rPr>
      </w:pPr>
      <w:r>
        <w:rPr>
          <w:b/>
          <w:bCs/>
        </w:rPr>
        <w:t>Committee 2 emeritus members</w:t>
      </w:r>
    </w:p>
    <w:tbl>
      <w:tblPr>
        <w:tblW w:w="0" w:type="auto"/>
        <w:tblLook w:val="01E0" w:firstRow="1" w:lastRow="1" w:firstColumn="1" w:lastColumn="1" w:noHBand="0" w:noVBand="0"/>
      </w:tblPr>
      <w:tblGrid>
        <w:gridCol w:w="2842"/>
        <w:gridCol w:w="2843"/>
        <w:gridCol w:w="2843"/>
      </w:tblGrid>
      <w:tr w:rsidR="00E72CA9" w14:paraId="4D50B151" w14:textId="77777777">
        <w:trPr>
          <w:trHeight w:val="276"/>
        </w:trPr>
        <w:tc>
          <w:tcPr>
            <w:tcW w:w="2842" w:type="dxa"/>
            <w:shd w:val="clear" w:color="auto" w:fill="auto"/>
          </w:tcPr>
          <w:p w14:paraId="27FE7FC4" w14:textId="77777777" w:rsidR="00E72CA9" w:rsidRDefault="00D516E3">
            <w:pPr>
              <w:pStyle w:val="ICRPbasicnospace"/>
            </w:pPr>
            <w:r>
              <w:t>K. Eckerman</w:t>
            </w:r>
          </w:p>
        </w:tc>
        <w:tc>
          <w:tcPr>
            <w:tcW w:w="2843" w:type="dxa"/>
            <w:shd w:val="clear" w:color="auto" w:fill="auto"/>
          </w:tcPr>
          <w:p w14:paraId="69785154" w14:textId="77777777" w:rsidR="00E72CA9" w:rsidRDefault="00E72CA9">
            <w:pPr>
              <w:pStyle w:val="ICRPbasicnospace"/>
            </w:pPr>
          </w:p>
        </w:tc>
        <w:tc>
          <w:tcPr>
            <w:tcW w:w="2843" w:type="dxa"/>
            <w:shd w:val="clear" w:color="auto" w:fill="auto"/>
          </w:tcPr>
          <w:p w14:paraId="47D4E48C" w14:textId="77777777" w:rsidR="00E72CA9" w:rsidRDefault="00E72CA9">
            <w:pPr>
              <w:pStyle w:val="ICRPbasicnospace"/>
            </w:pPr>
          </w:p>
        </w:tc>
      </w:tr>
    </w:tbl>
    <w:p w14:paraId="2BAF3DD4" w14:textId="77777777" w:rsidR="00E72CA9" w:rsidRDefault="00E72CA9">
      <w:pPr>
        <w:widowControl w:val="0"/>
        <w:suppressAutoHyphens/>
        <w:jc w:val="both"/>
        <w:textAlignment w:val="baseline"/>
        <w:rPr>
          <w:rFonts w:cstheme="minorHAnsi"/>
          <w:kern w:val="2"/>
          <w:szCs w:val="24"/>
          <w:lang w:eastAsia="zh-CN"/>
        </w:rPr>
      </w:pPr>
    </w:p>
    <w:p w14:paraId="7CE3B9D7" w14:textId="77777777" w:rsidR="00E72CA9" w:rsidRDefault="00D516E3">
      <w:pPr>
        <w:widowControl w:val="0"/>
        <w:suppressAutoHyphens/>
        <w:spacing w:before="240" w:after="240"/>
        <w:jc w:val="both"/>
        <w:textAlignment w:val="baseline"/>
        <w:rPr>
          <w:rFonts w:cstheme="minorHAnsi"/>
          <w:b/>
          <w:bCs/>
          <w:kern w:val="2"/>
          <w:szCs w:val="24"/>
          <w:lang w:eastAsia="zh-CN"/>
        </w:rPr>
      </w:pPr>
      <w:r>
        <w:rPr>
          <w:rFonts w:cstheme="minorHAnsi"/>
          <w:b/>
          <w:bCs/>
          <w:kern w:val="2"/>
          <w:szCs w:val="24"/>
          <w:lang w:eastAsia="zh-CN"/>
        </w:rPr>
        <w:t xml:space="preserve">Committee 3 during the preparation of this publication </w:t>
      </w:r>
    </w:p>
    <w:p w14:paraId="475D666A" w14:textId="77777777" w:rsidR="00E72CA9" w:rsidRDefault="00D516E3">
      <w:pPr>
        <w:widowControl w:val="0"/>
        <w:suppressAutoHyphens/>
        <w:spacing w:after="120"/>
        <w:jc w:val="both"/>
        <w:textAlignment w:val="baseline"/>
        <w:rPr>
          <w:rFonts w:cstheme="minorHAnsi"/>
          <w:i/>
          <w:iCs/>
          <w:kern w:val="2"/>
          <w:szCs w:val="24"/>
          <w:lang w:eastAsia="zh-CN"/>
        </w:rPr>
      </w:pPr>
      <w:r>
        <w:rPr>
          <w:rFonts w:cstheme="minorHAnsi"/>
          <w:i/>
          <w:iCs/>
          <w:kern w:val="2"/>
          <w:szCs w:val="24"/>
          <w:lang w:eastAsia="zh-CN"/>
        </w:rPr>
        <w:t>(2017–2021)</w:t>
      </w:r>
    </w:p>
    <w:tbl>
      <w:tblPr>
        <w:tblW w:w="8528" w:type="dxa"/>
        <w:tblInd w:w="-108" w:type="dxa"/>
        <w:tblLook w:val="0000" w:firstRow="0" w:lastRow="0" w:firstColumn="0" w:lastColumn="0" w:noHBand="0" w:noVBand="0"/>
      </w:tblPr>
      <w:tblGrid>
        <w:gridCol w:w="2842"/>
        <w:gridCol w:w="2840"/>
        <w:gridCol w:w="2846"/>
      </w:tblGrid>
      <w:tr w:rsidR="00E72CA9" w14:paraId="55743F73" w14:textId="77777777">
        <w:tc>
          <w:tcPr>
            <w:tcW w:w="2842" w:type="dxa"/>
            <w:shd w:val="clear" w:color="auto" w:fill="auto"/>
          </w:tcPr>
          <w:p w14:paraId="652ECD58"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K. Applegate (Chair)</w:t>
            </w:r>
          </w:p>
        </w:tc>
        <w:tc>
          <w:tcPr>
            <w:tcW w:w="2840" w:type="dxa"/>
            <w:shd w:val="clear" w:color="auto" w:fill="auto"/>
          </w:tcPr>
          <w:p w14:paraId="4F8884D5"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0"/>
                <w:lang w:eastAsia="zh-CN"/>
              </w:rPr>
              <w:t>S. Demeter</w:t>
            </w:r>
          </w:p>
        </w:tc>
        <w:tc>
          <w:tcPr>
            <w:tcW w:w="2846" w:type="dxa"/>
            <w:shd w:val="clear" w:color="auto" w:fill="auto"/>
          </w:tcPr>
          <w:p w14:paraId="435CAD61"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C. Ruebe</w:t>
            </w:r>
          </w:p>
        </w:tc>
      </w:tr>
      <w:tr w:rsidR="00E72CA9" w14:paraId="3F2B42A2" w14:textId="77777777">
        <w:tc>
          <w:tcPr>
            <w:tcW w:w="2842" w:type="dxa"/>
            <w:shd w:val="clear" w:color="auto" w:fill="auto"/>
          </w:tcPr>
          <w:p w14:paraId="67B2F71E"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C.J. Martin (Vice-Chair)</w:t>
            </w:r>
          </w:p>
        </w:tc>
        <w:tc>
          <w:tcPr>
            <w:tcW w:w="2840" w:type="dxa"/>
            <w:shd w:val="clear" w:color="auto" w:fill="auto"/>
          </w:tcPr>
          <w:p w14:paraId="57BF19A8"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M. Hosono</w:t>
            </w:r>
          </w:p>
        </w:tc>
        <w:tc>
          <w:tcPr>
            <w:tcW w:w="2846" w:type="dxa"/>
            <w:shd w:val="clear" w:color="auto" w:fill="auto"/>
          </w:tcPr>
          <w:p w14:paraId="5948211D"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W. Small</w:t>
            </w:r>
          </w:p>
        </w:tc>
      </w:tr>
      <w:tr w:rsidR="00E72CA9" w14:paraId="562391A5" w14:textId="77777777">
        <w:tc>
          <w:tcPr>
            <w:tcW w:w="2842" w:type="dxa"/>
            <w:shd w:val="clear" w:color="auto" w:fill="auto"/>
          </w:tcPr>
          <w:p w14:paraId="79A8064F" w14:textId="77777777" w:rsidR="00E72CA9" w:rsidRDefault="00D516E3">
            <w:pPr>
              <w:widowControl w:val="0"/>
              <w:suppressAutoHyphens/>
              <w:textAlignment w:val="baseline"/>
              <w:rPr>
                <w:rFonts w:eastAsia="NSimSun" w:cstheme="minorHAnsi"/>
                <w:kern w:val="2"/>
                <w:szCs w:val="24"/>
                <w:lang w:eastAsia="zh-CN" w:bidi="hi-IN"/>
              </w:rPr>
            </w:pPr>
            <w:r>
              <w:rPr>
                <w:rFonts w:eastAsia="NSimSun" w:cstheme="minorHAnsi"/>
                <w:kern w:val="2"/>
                <w:szCs w:val="24"/>
                <w:lang w:eastAsia="zh-CN" w:bidi="hi-IN"/>
              </w:rPr>
              <w:t>M. Rehani (Secretary)</w:t>
            </w:r>
          </w:p>
        </w:tc>
        <w:tc>
          <w:tcPr>
            <w:tcW w:w="2840" w:type="dxa"/>
            <w:shd w:val="clear" w:color="auto" w:fill="auto"/>
          </w:tcPr>
          <w:p w14:paraId="3E06ED26"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K. Kang</w:t>
            </w:r>
          </w:p>
        </w:tc>
        <w:tc>
          <w:tcPr>
            <w:tcW w:w="2846" w:type="dxa"/>
            <w:shd w:val="clear" w:color="auto" w:fill="auto"/>
          </w:tcPr>
          <w:p w14:paraId="2AC4ACBD"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D. G Sutton</w:t>
            </w:r>
          </w:p>
        </w:tc>
      </w:tr>
      <w:tr w:rsidR="00E72CA9" w14:paraId="369BC7A8" w14:textId="77777777">
        <w:tc>
          <w:tcPr>
            <w:tcW w:w="2842" w:type="dxa"/>
            <w:shd w:val="clear" w:color="auto" w:fill="auto"/>
          </w:tcPr>
          <w:p w14:paraId="2D974F9E" w14:textId="77777777" w:rsidR="00E72CA9" w:rsidRDefault="00D516E3">
            <w:pPr>
              <w:widowControl w:val="0"/>
              <w:suppressAutoHyphens/>
              <w:textAlignment w:val="baseline"/>
              <w:rPr>
                <w:rFonts w:eastAsia="NSimSun" w:cstheme="minorHAnsi"/>
                <w:kern w:val="2"/>
                <w:szCs w:val="24"/>
                <w:lang w:eastAsia="zh-CN" w:bidi="hi-IN"/>
              </w:rPr>
            </w:pPr>
            <w:r>
              <w:rPr>
                <w:rFonts w:eastAsia="NSimSun" w:cstheme="minorHAnsi"/>
                <w:kern w:val="2"/>
                <w:szCs w:val="24"/>
                <w:lang w:eastAsia="zh-CN" w:bidi="hi-IN"/>
              </w:rPr>
              <w:t xml:space="preserve">J. </w:t>
            </w:r>
            <w:proofErr w:type="spellStart"/>
            <w:r>
              <w:rPr>
                <w:rFonts w:eastAsia="NSimSun" w:cstheme="minorHAnsi"/>
                <w:kern w:val="2"/>
                <w:szCs w:val="24"/>
                <w:lang w:eastAsia="zh-CN" w:bidi="hi-IN"/>
              </w:rPr>
              <w:t>Alsuwaidi</w:t>
            </w:r>
            <w:proofErr w:type="spellEnd"/>
            <w:r>
              <w:rPr>
                <w:rFonts w:eastAsia="NSimSun" w:cstheme="minorHAnsi"/>
                <w:kern w:val="2"/>
                <w:szCs w:val="24"/>
                <w:lang w:eastAsia="zh-CN" w:bidi="hi-IN"/>
              </w:rPr>
              <w:t xml:space="preserve"> </w:t>
            </w:r>
          </w:p>
        </w:tc>
        <w:tc>
          <w:tcPr>
            <w:tcW w:w="2840" w:type="dxa"/>
            <w:shd w:val="clear" w:color="auto" w:fill="auto"/>
          </w:tcPr>
          <w:p w14:paraId="20D630B9"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R. Loose</w:t>
            </w:r>
          </w:p>
        </w:tc>
        <w:tc>
          <w:tcPr>
            <w:tcW w:w="2846" w:type="dxa"/>
            <w:shd w:val="clear" w:color="auto" w:fill="auto"/>
          </w:tcPr>
          <w:p w14:paraId="5417F841"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L. Van Bladel</w:t>
            </w:r>
          </w:p>
        </w:tc>
      </w:tr>
      <w:tr w:rsidR="00E72CA9" w14:paraId="3E75F4A9" w14:textId="77777777">
        <w:tc>
          <w:tcPr>
            <w:tcW w:w="2842" w:type="dxa"/>
            <w:shd w:val="clear" w:color="auto" w:fill="auto"/>
          </w:tcPr>
          <w:p w14:paraId="11473D0B" w14:textId="77777777" w:rsidR="00E72CA9" w:rsidRDefault="00D516E3">
            <w:pPr>
              <w:widowControl w:val="0"/>
              <w:suppressAutoHyphens/>
              <w:textAlignment w:val="baseline"/>
              <w:rPr>
                <w:rFonts w:eastAsia="NSimSun" w:cstheme="minorHAnsi"/>
                <w:kern w:val="2"/>
                <w:szCs w:val="24"/>
                <w:lang w:eastAsia="zh-CN" w:bidi="hi-IN"/>
              </w:rPr>
            </w:pPr>
            <w:r>
              <w:rPr>
                <w:rFonts w:eastAsia="NSimSun" w:cstheme="minorHAnsi"/>
                <w:kern w:val="2"/>
                <w:szCs w:val="24"/>
                <w:lang w:eastAsia="zh-CN" w:bidi="hi-IN"/>
              </w:rPr>
              <w:t>M. Bourguignon</w:t>
            </w:r>
          </w:p>
        </w:tc>
        <w:tc>
          <w:tcPr>
            <w:tcW w:w="2840" w:type="dxa"/>
            <w:shd w:val="clear" w:color="auto" w:fill="auto"/>
          </w:tcPr>
          <w:p w14:paraId="74FD8DA2"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J. Marti-Clement</w:t>
            </w:r>
          </w:p>
        </w:tc>
        <w:tc>
          <w:tcPr>
            <w:tcW w:w="2846" w:type="dxa"/>
            <w:shd w:val="clear" w:color="auto" w:fill="auto"/>
          </w:tcPr>
          <w:p w14:paraId="3E2F7A5C" w14:textId="77777777" w:rsidR="00E72CA9" w:rsidRDefault="00E72CA9">
            <w:pPr>
              <w:widowControl w:val="0"/>
              <w:suppressAutoHyphens/>
              <w:jc w:val="both"/>
              <w:textAlignment w:val="baseline"/>
              <w:rPr>
                <w:rFonts w:cstheme="minorHAnsi"/>
                <w:kern w:val="2"/>
                <w:szCs w:val="24"/>
                <w:lang w:eastAsia="zh-CN"/>
              </w:rPr>
            </w:pPr>
          </w:p>
        </w:tc>
      </w:tr>
      <w:tr w:rsidR="00E72CA9" w14:paraId="7128C471" w14:textId="77777777">
        <w:tc>
          <w:tcPr>
            <w:tcW w:w="2842" w:type="dxa"/>
            <w:shd w:val="clear" w:color="auto" w:fill="auto"/>
          </w:tcPr>
          <w:p w14:paraId="4E37DE0C" w14:textId="77777777" w:rsidR="00E72CA9" w:rsidRDefault="00D516E3">
            <w:pPr>
              <w:widowControl w:val="0"/>
              <w:suppressAutoHyphens/>
              <w:textAlignment w:val="baseline"/>
              <w:rPr>
                <w:rFonts w:eastAsia="NSimSun" w:cstheme="minorHAnsi"/>
                <w:kern w:val="2"/>
                <w:szCs w:val="24"/>
                <w:lang w:eastAsia="zh-CN" w:bidi="hi-IN"/>
              </w:rPr>
            </w:pPr>
            <w:r>
              <w:rPr>
                <w:rFonts w:eastAsia="NSimSun" w:cstheme="minorHAnsi"/>
                <w:kern w:val="2"/>
                <w:szCs w:val="24"/>
                <w:lang w:eastAsia="zh-CN" w:bidi="hi-IN"/>
              </w:rPr>
              <w:t>M-C. Cantone</w:t>
            </w:r>
          </w:p>
        </w:tc>
        <w:tc>
          <w:tcPr>
            <w:tcW w:w="2840" w:type="dxa"/>
            <w:shd w:val="clear" w:color="auto" w:fill="auto"/>
          </w:tcPr>
          <w:p w14:paraId="504E465A" w14:textId="77777777" w:rsidR="00E72CA9" w:rsidRDefault="00D516E3">
            <w:pPr>
              <w:widowControl w:val="0"/>
              <w:suppressAutoHyphens/>
              <w:snapToGrid w:val="0"/>
              <w:jc w:val="both"/>
              <w:textAlignment w:val="baseline"/>
              <w:rPr>
                <w:rFonts w:cstheme="minorHAnsi"/>
                <w:kern w:val="2"/>
                <w:szCs w:val="24"/>
                <w:lang w:eastAsia="zh-CN"/>
              </w:rPr>
            </w:pPr>
            <w:r>
              <w:rPr>
                <w:rFonts w:cstheme="minorHAnsi"/>
                <w:kern w:val="2"/>
                <w:szCs w:val="24"/>
                <w:lang w:eastAsia="zh-CN"/>
              </w:rPr>
              <w:t>Y. Niu</w:t>
            </w:r>
          </w:p>
        </w:tc>
        <w:tc>
          <w:tcPr>
            <w:tcW w:w="2846" w:type="dxa"/>
            <w:shd w:val="clear" w:color="auto" w:fill="auto"/>
          </w:tcPr>
          <w:p w14:paraId="65EDDC49" w14:textId="77777777" w:rsidR="00E72CA9" w:rsidRDefault="00E72CA9">
            <w:pPr>
              <w:widowControl w:val="0"/>
              <w:suppressAutoHyphens/>
              <w:snapToGrid w:val="0"/>
              <w:jc w:val="both"/>
              <w:textAlignment w:val="baseline"/>
              <w:rPr>
                <w:rFonts w:cstheme="minorHAnsi"/>
                <w:kern w:val="2"/>
                <w:szCs w:val="24"/>
                <w:lang w:eastAsia="zh-CN"/>
              </w:rPr>
            </w:pPr>
          </w:p>
        </w:tc>
      </w:tr>
    </w:tbl>
    <w:p w14:paraId="440520C8" w14:textId="77777777" w:rsidR="00E72CA9" w:rsidRDefault="00E72CA9">
      <w:pPr>
        <w:widowControl w:val="0"/>
        <w:suppressAutoHyphens/>
        <w:spacing w:before="120" w:after="120"/>
        <w:jc w:val="both"/>
        <w:textAlignment w:val="baseline"/>
        <w:rPr>
          <w:rFonts w:cstheme="minorHAnsi"/>
          <w:kern w:val="2"/>
          <w:szCs w:val="24"/>
          <w:lang w:eastAsia="zh-CN"/>
        </w:rPr>
      </w:pPr>
    </w:p>
    <w:p w14:paraId="13C76AB5" w14:textId="77777777" w:rsidR="00E72CA9" w:rsidRDefault="00D516E3">
      <w:pPr>
        <w:widowControl w:val="0"/>
        <w:suppressAutoHyphens/>
        <w:spacing w:before="120" w:after="120"/>
        <w:jc w:val="both"/>
        <w:textAlignment w:val="baseline"/>
        <w:rPr>
          <w:rFonts w:cstheme="minorHAnsi"/>
          <w:kern w:val="2"/>
          <w:szCs w:val="24"/>
          <w:lang w:eastAsia="zh-CN"/>
        </w:rPr>
      </w:pPr>
      <w:r>
        <w:rPr>
          <w:rFonts w:cstheme="minorHAnsi"/>
          <w:kern w:val="2"/>
          <w:szCs w:val="24"/>
          <w:lang w:eastAsia="zh-CN"/>
        </w:rPr>
        <w:t>(</w:t>
      </w:r>
      <w:r>
        <w:rPr>
          <w:rFonts w:cstheme="minorHAnsi"/>
          <w:i/>
          <w:iCs/>
          <w:kern w:val="2"/>
          <w:szCs w:val="24"/>
          <w:lang w:eastAsia="zh-CN"/>
        </w:rPr>
        <w:t>2021–2025</w:t>
      </w:r>
      <w:r>
        <w:rPr>
          <w:rFonts w:cstheme="minorHAnsi"/>
          <w:kern w:val="2"/>
          <w:szCs w:val="24"/>
          <w:lang w:eastAsia="zh-CN"/>
        </w:rPr>
        <w:t>)</w:t>
      </w:r>
    </w:p>
    <w:tbl>
      <w:tblPr>
        <w:tblW w:w="8528" w:type="dxa"/>
        <w:tblInd w:w="-108" w:type="dxa"/>
        <w:tblLook w:val="0000" w:firstRow="0" w:lastRow="0" w:firstColumn="0" w:lastColumn="0" w:noHBand="0" w:noVBand="0"/>
      </w:tblPr>
      <w:tblGrid>
        <w:gridCol w:w="2842"/>
        <w:gridCol w:w="2840"/>
        <w:gridCol w:w="2846"/>
      </w:tblGrid>
      <w:tr w:rsidR="00E72CA9" w14:paraId="4B426301" w14:textId="77777777">
        <w:tc>
          <w:tcPr>
            <w:tcW w:w="2842" w:type="dxa"/>
            <w:shd w:val="clear" w:color="auto" w:fill="auto"/>
          </w:tcPr>
          <w:p w14:paraId="64555142"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K. Applegate (Chair)</w:t>
            </w:r>
          </w:p>
        </w:tc>
        <w:tc>
          <w:tcPr>
            <w:tcW w:w="2840" w:type="dxa"/>
            <w:shd w:val="clear" w:color="auto" w:fill="auto"/>
          </w:tcPr>
          <w:p w14:paraId="381B30F6"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A. Isambert</w:t>
            </w:r>
          </w:p>
        </w:tc>
        <w:tc>
          <w:tcPr>
            <w:tcW w:w="2846" w:type="dxa"/>
            <w:shd w:val="clear" w:color="auto" w:fill="auto"/>
          </w:tcPr>
          <w:p w14:paraId="06321AFF"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C. Ruebe</w:t>
            </w:r>
          </w:p>
        </w:tc>
      </w:tr>
      <w:tr w:rsidR="00E72CA9" w14:paraId="707E9352" w14:textId="77777777">
        <w:tc>
          <w:tcPr>
            <w:tcW w:w="2842" w:type="dxa"/>
            <w:shd w:val="clear" w:color="auto" w:fill="auto"/>
          </w:tcPr>
          <w:p w14:paraId="4CDD0A4F"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C.J. Martin (Vice-Chair)</w:t>
            </w:r>
          </w:p>
        </w:tc>
        <w:tc>
          <w:tcPr>
            <w:tcW w:w="2840" w:type="dxa"/>
            <w:shd w:val="clear" w:color="auto" w:fill="auto"/>
          </w:tcPr>
          <w:p w14:paraId="56E15695"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M. Kortesniemi</w:t>
            </w:r>
          </w:p>
        </w:tc>
        <w:tc>
          <w:tcPr>
            <w:tcW w:w="2846" w:type="dxa"/>
            <w:shd w:val="clear" w:color="auto" w:fill="auto"/>
          </w:tcPr>
          <w:p w14:paraId="1DC382D3"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W. Small</w:t>
            </w:r>
          </w:p>
        </w:tc>
      </w:tr>
      <w:tr w:rsidR="00E72CA9" w14:paraId="678393D8" w14:textId="77777777">
        <w:tc>
          <w:tcPr>
            <w:tcW w:w="2842" w:type="dxa"/>
            <w:shd w:val="clear" w:color="auto" w:fill="auto"/>
          </w:tcPr>
          <w:p w14:paraId="42E6933F" w14:textId="77777777" w:rsidR="00E72CA9" w:rsidRDefault="00D516E3">
            <w:pPr>
              <w:widowControl w:val="0"/>
              <w:suppressAutoHyphens/>
              <w:textAlignment w:val="baseline"/>
              <w:rPr>
                <w:rFonts w:eastAsia="NSimSun" w:cstheme="minorHAnsi"/>
                <w:kern w:val="2"/>
                <w:szCs w:val="24"/>
                <w:lang w:eastAsia="zh-CN" w:bidi="hi-IN"/>
              </w:rPr>
            </w:pPr>
            <w:r>
              <w:rPr>
                <w:rFonts w:eastAsia="NSimSun" w:cstheme="minorHAnsi"/>
                <w:kern w:val="2"/>
                <w:szCs w:val="24"/>
                <w:lang w:eastAsia="zh-CN" w:bidi="hi-IN"/>
              </w:rPr>
              <w:t>D.G. Sutton (Secretary)</w:t>
            </w:r>
          </w:p>
        </w:tc>
        <w:tc>
          <w:tcPr>
            <w:tcW w:w="2840" w:type="dxa"/>
            <w:shd w:val="clear" w:color="auto" w:fill="auto"/>
          </w:tcPr>
          <w:p w14:paraId="22ABA571"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A. Magistrelli</w:t>
            </w:r>
          </w:p>
        </w:tc>
        <w:tc>
          <w:tcPr>
            <w:tcW w:w="2846" w:type="dxa"/>
            <w:shd w:val="clear" w:color="auto" w:fill="auto"/>
          </w:tcPr>
          <w:p w14:paraId="2DF69374"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Å Søvik</w:t>
            </w:r>
          </w:p>
        </w:tc>
      </w:tr>
      <w:tr w:rsidR="00E72CA9" w14:paraId="43556A14" w14:textId="77777777">
        <w:tc>
          <w:tcPr>
            <w:tcW w:w="2842" w:type="dxa"/>
            <w:shd w:val="clear" w:color="auto" w:fill="auto"/>
          </w:tcPr>
          <w:p w14:paraId="3DCBA2FB" w14:textId="77777777" w:rsidR="00E72CA9" w:rsidRDefault="00D516E3">
            <w:pPr>
              <w:widowControl w:val="0"/>
              <w:suppressAutoHyphens/>
              <w:textAlignment w:val="baseline"/>
              <w:rPr>
                <w:rFonts w:eastAsia="NSimSun" w:cstheme="minorHAnsi"/>
                <w:kern w:val="2"/>
                <w:szCs w:val="24"/>
                <w:lang w:eastAsia="zh-CN" w:bidi="hi-IN"/>
              </w:rPr>
            </w:pPr>
            <w:r>
              <w:rPr>
                <w:rFonts w:eastAsia="NSimSun" w:cstheme="minorHAnsi"/>
                <w:kern w:val="2"/>
                <w:szCs w:val="24"/>
                <w:lang w:eastAsia="zh-CN" w:bidi="hi-IN"/>
              </w:rPr>
              <w:t>M-C. Cantone</w:t>
            </w:r>
          </w:p>
        </w:tc>
        <w:tc>
          <w:tcPr>
            <w:tcW w:w="2840" w:type="dxa"/>
            <w:shd w:val="clear" w:color="auto" w:fill="auto"/>
          </w:tcPr>
          <w:p w14:paraId="48384509"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M. Mahesh</w:t>
            </w:r>
          </w:p>
        </w:tc>
        <w:tc>
          <w:tcPr>
            <w:tcW w:w="2846" w:type="dxa"/>
            <w:shd w:val="clear" w:color="auto" w:fill="auto"/>
          </w:tcPr>
          <w:p w14:paraId="31BD398B"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I. Thierry-Chef</w:t>
            </w:r>
          </w:p>
        </w:tc>
      </w:tr>
      <w:tr w:rsidR="00E72CA9" w14:paraId="6E4DB91E" w14:textId="77777777">
        <w:tc>
          <w:tcPr>
            <w:tcW w:w="2842" w:type="dxa"/>
            <w:shd w:val="clear" w:color="auto" w:fill="auto"/>
          </w:tcPr>
          <w:p w14:paraId="3ED36046" w14:textId="77777777" w:rsidR="00E72CA9" w:rsidRDefault="00D516E3">
            <w:pPr>
              <w:widowControl w:val="0"/>
              <w:suppressAutoHyphens/>
              <w:textAlignment w:val="baseline"/>
              <w:rPr>
                <w:rFonts w:eastAsia="NSimSun" w:cstheme="minorHAnsi"/>
                <w:kern w:val="2"/>
                <w:szCs w:val="24"/>
                <w:lang w:eastAsia="zh-CN" w:bidi="hi-IN"/>
              </w:rPr>
            </w:pPr>
            <w:bookmarkStart w:id="248" w:name="_Hlk81916543"/>
            <w:r>
              <w:rPr>
                <w:rFonts w:eastAsia="NSimSun" w:cstheme="minorHAnsi"/>
                <w:kern w:val="2"/>
                <w:szCs w:val="24"/>
                <w:lang w:eastAsia="zh-CN" w:bidi="hi-IN"/>
              </w:rPr>
              <w:t>J. Damilakis</w:t>
            </w:r>
            <w:bookmarkEnd w:id="248"/>
          </w:p>
        </w:tc>
        <w:tc>
          <w:tcPr>
            <w:tcW w:w="2840" w:type="dxa"/>
            <w:shd w:val="clear" w:color="auto" w:fill="auto"/>
          </w:tcPr>
          <w:p w14:paraId="4E21438E"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J. Marti-Clement</w:t>
            </w:r>
          </w:p>
        </w:tc>
        <w:tc>
          <w:tcPr>
            <w:tcW w:w="2846" w:type="dxa"/>
            <w:shd w:val="clear" w:color="auto" w:fill="auto"/>
          </w:tcPr>
          <w:p w14:paraId="6D298E87" w14:textId="77777777" w:rsidR="00E72CA9" w:rsidRDefault="00D516E3">
            <w:pPr>
              <w:widowControl w:val="0"/>
              <w:suppressAutoHyphens/>
              <w:jc w:val="both"/>
              <w:textAlignment w:val="baseline"/>
              <w:rPr>
                <w:rFonts w:cstheme="minorHAnsi"/>
                <w:kern w:val="2"/>
                <w:szCs w:val="24"/>
                <w:lang w:eastAsia="zh-CN"/>
              </w:rPr>
            </w:pPr>
            <w:r>
              <w:rPr>
                <w:rFonts w:cstheme="minorHAnsi"/>
                <w:kern w:val="2"/>
                <w:szCs w:val="24"/>
                <w:lang w:eastAsia="zh-CN"/>
              </w:rPr>
              <w:t>I. Williams</w:t>
            </w:r>
          </w:p>
        </w:tc>
      </w:tr>
      <w:tr w:rsidR="00E72CA9" w14:paraId="47B05168" w14:textId="77777777">
        <w:tc>
          <w:tcPr>
            <w:tcW w:w="2842" w:type="dxa"/>
            <w:shd w:val="clear" w:color="auto" w:fill="auto"/>
          </w:tcPr>
          <w:p w14:paraId="36C39947" w14:textId="77777777" w:rsidR="00E72CA9" w:rsidRDefault="00D516E3">
            <w:pPr>
              <w:widowControl w:val="0"/>
              <w:suppressAutoHyphens/>
              <w:textAlignment w:val="baseline"/>
              <w:rPr>
                <w:rFonts w:eastAsia="NSimSun" w:cstheme="minorHAnsi"/>
                <w:kern w:val="2"/>
                <w:szCs w:val="24"/>
                <w:lang w:eastAsia="zh-CN" w:bidi="hi-IN"/>
              </w:rPr>
            </w:pPr>
            <w:r>
              <w:rPr>
                <w:rFonts w:cstheme="minorHAnsi"/>
                <w:kern w:val="2"/>
                <w:szCs w:val="24"/>
                <w:lang w:eastAsia="zh-CN"/>
              </w:rPr>
              <w:t>M. Hosono</w:t>
            </w:r>
          </w:p>
        </w:tc>
        <w:tc>
          <w:tcPr>
            <w:tcW w:w="2840" w:type="dxa"/>
            <w:shd w:val="clear" w:color="auto" w:fill="auto"/>
          </w:tcPr>
          <w:p w14:paraId="08DC097F" w14:textId="77777777" w:rsidR="00E72CA9" w:rsidRDefault="00D516E3">
            <w:pPr>
              <w:widowControl w:val="0"/>
              <w:suppressAutoHyphens/>
              <w:snapToGrid w:val="0"/>
              <w:jc w:val="both"/>
              <w:textAlignment w:val="baseline"/>
              <w:rPr>
                <w:rFonts w:cstheme="minorHAnsi"/>
                <w:kern w:val="2"/>
                <w:szCs w:val="24"/>
                <w:lang w:eastAsia="zh-CN"/>
              </w:rPr>
            </w:pPr>
            <w:r>
              <w:rPr>
                <w:rFonts w:cstheme="minorHAnsi"/>
                <w:kern w:val="2"/>
                <w:szCs w:val="24"/>
                <w:lang w:eastAsia="zh-CN"/>
              </w:rPr>
              <w:t>J.C. Paeng</w:t>
            </w:r>
          </w:p>
        </w:tc>
        <w:tc>
          <w:tcPr>
            <w:tcW w:w="2846" w:type="dxa"/>
            <w:shd w:val="clear" w:color="auto" w:fill="auto"/>
          </w:tcPr>
          <w:p w14:paraId="7C64F24C" w14:textId="77777777" w:rsidR="00E72CA9" w:rsidRDefault="00D516E3">
            <w:pPr>
              <w:widowControl w:val="0"/>
              <w:suppressAutoHyphens/>
              <w:snapToGrid w:val="0"/>
              <w:jc w:val="both"/>
              <w:textAlignment w:val="baseline"/>
              <w:rPr>
                <w:rFonts w:cstheme="minorHAnsi"/>
                <w:kern w:val="2"/>
                <w:szCs w:val="24"/>
                <w:lang w:eastAsia="zh-CN"/>
              </w:rPr>
            </w:pPr>
            <w:r>
              <w:rPr>
                <w:rFonts w:cstheme="minorHAnsi"/>
                <w:kern w:val="2"/>
                <w:szCs w:val="24"/>
                <w:lang w:eastAsia="zh-CN"/>
              </w:rPr>
              <w:t>W. Zhuo</w:t>
            </w:r>
          </w:p>
        </w:tc>
      </w:tr>
    </w:tbl>
    <w:p w14:paraId="522FF01A" w14:textId="77777777" w:rsidR="00E72CA9" w:rsidRDefault="00D516E3">
      <w:pPr>
        <w:spacing w:before="240" w:after="240"/>
        <w:jc w:val="both"/>
        <w:rPr>
          <w:rFonts w:eastAsia="Times New Roman" w:cstheme="minorHAnsi"/>
          <w:b/>
          <w:szCs w:val="24"/>
        </w:rPr>
      </w:pPr>
      <w:r>
        <w:rPr>
          <w:rFonts w:eastAsia="Times New Roman" w:cstheme="minorHAnsi"/>
          <w:b/>
          <w:szCs w:val="24"/>
        </w:rPr>
        <w:t>Committee 3 emeritus members</w:t>
      </w:r>
    </w:p>
    <w:p w14:paraId="141AEFD0" w14:textId="77777777" w:rsidR="00E72CA9" w:rsidRDefault="00D516E3">
      <w:pPr>
        <w:spacing w:afterLines="100" w:after="240"/>
        <w:jc w:val="both"/>
        <w:rPr>
          <w:rFonts w:eastAsia="Times New Roman" w:cstheme="minorHAnsi"/>
          <w:szCs w:val="24"/>
          <w:lang w:val="de-DE"/>
        </w:rPr>
      </w:pPr>
      <w:r>
        <w:rPr>
          <w:rFonts w:eastAsia="Times New Roman" w:cstheme="minorHAnsi"/>
          <w:szCs w:val="24"/>
          <w:lang w:val="de-DE"/>
        </w:rPr>
        <w:t>S. Mattsson</w:t>
      </w:r>
      <w:r>
        <w:rPr>
          <w:rFonts w:eastAsia="Times New Roman" w:cstheme="minorHAnsi"/>
          <w:szCs w:val="24"/>
          <w:lang w:val="de-DE"/>
        </w:rPr>
        <w:tab/>
      </w:r>
      <w:r>
        <w:rPr>
          <w:rFonts w:eastAsia="Times New Roman" w:cstheme="minorHAnsi"/>
          <w:szCs w:val="24"/>
          <w:lang w:val="de-DE"/>
        </w:rPr>
        <w:tab/>
      </w:r>
      <w:r>
        <w:rPr>
          <w:rFonts w:eastAsia="Times New Roman" w:cstheme="minorHAnsi"/>
          <w:szCs w:val="24"/>
          <w:lang w:val="de-DE"/>
        </w:rPr>
        <w:tab/>
        <w:t>M.M. Rehani</w:t>
      </w:r>
      <w:r>
        <w:rPr>
          <w:rFonts w:eastAsia="Times New Roman" w:cstheme="minorHAnsi"/>
          <w:szCs w:val="24"/>
          <w:lang w:val="de-DE"/>
        </w:rPr>
        <w:tab/>
      </w:r>
      <w:r>
        <w:rPr>
          <w:rFonts w:eastAsia="Times New Roman" w:cstheme="minorHAnsi"/>
          <w:szCs w:val="24"/>
          <w:lang w:val="de-DE"/>
        </w:rPr>
        <w:tab/>
      </w:r>
      <w:r>
        <w:rPr>
          <w:rFonts w:eastAsia="Times New Roman" w:cstheme="minorHAnsi"/>
          <w:szCs w:val="24"/>
          <w:lang w:val="de-DE"/>
        </w:rPr>
        <w:tab/>
        <w:t>M. Rosenstein</w:t>
      </w:r>
    </w:p>
    <w:p w14:paraId="686EB449" w14:textId="77777777" w:rsidR="00E72CA9" w:rsidRDefault="00D516E3">
      <w:pPr>
        <w:spacing w:before="240" w:after="240"/>
        <w:jc w:val="both"/>
        <w:rPr>
          <w:rFonts w:eastAsia="Times New Roman" w:cstheme="minorHAnsi"/>
          <w:b/>
          <w:bCs/>
          <w:szCs w:val="24"/>
        </w:rPr>
      </w:pPr>
      <w:r>
        <w:rPr>
          <w:rFonts w:eastAsia="Times New Roman" w:cstheme="minorHAnsi"/>
          <w:b/>
          <w:bCs/>
          <w:szCs w:val="24"/>
        </w:rPr>
        <w:lastRenderedPageBreak/>
        <w:t>Main Commission members at the time of approval of this publication</w:t>
      </w:r>
    </w:p>
    <w:p w14:paraId="7A07376C" w14:textId="77777777" w:rsidR="00E72CA9" w:rsidRDefault="00D516E3">
      <w:pPr>
        <w:jc w:val="both"/>
        <w:rPr>
          <w:rFonts w:eastAsia="Times New Roman" w:cstheme="minorHAnsi"/>
          <w:szCs w:val="24"/>
        </w:rPr>
      </w:pPr>
      <w:r>
        <w:rPr>
          <w:rFonts w:eastAsia="Times New Roman" w:cstheme="minorHAnsi"/>
          <w:szCs w:val="24"/>
        </w:rPr>
        <w:t xml:space="preserve">Chair: W. Rühm, </w:t>
      </w:r>
      <w:r>
        <w:rPr>
          <w:rFonts w:eastAsia="Times New Roman" w:cstheme="minorHAnsi"/>
          <w:i/>
          <w:szCs w:val="24"/>
        </w:rPr>
        <w:t>Germany</w:t>
      </w:r>
    </w:p>
    <w:p w14:paraId="01E62173" w14:textId="77777777" w:rsidR="00E72CA9" w:rsidRDefault="00D516E3">
      <w:pPr>
        <w:jc w:val="both"/>
        <w:rPr>
          <w:rFonts w:eastAsia="Times New Roman" w:cstheme="minorHAnsi"/>
          <w:szCs w:val="24"/>
        </w:rPr>
      </w:pPr>
      <w:r>
        <w:rPr>
          <w:rFonts w:eastAsia="Times New Roman" w:cstheme="minorHAnsi"/>
          <w:szCs w:val="24"/>
        </w:rPr>
        <w:t xml:space="preserve">Vice-Chair: S. Bouffler, </w:t>
      </w:r>
      <w:r>
        <w:rPr>
          <w:rFonts w:eastAsia="Times New Roman" w:cstheme="minorHAnsi"/>
          <w:i/>
          <w:szCs w:val="24"/>
        </w:rPr>
        <w:t>UK</w:t>
      </w:r>
      <w:r>
        <w:rPr>
          <w:rFonts w:eastAsia="Times New Roman" w:cstheme="minorHAnsi"/>
          <w:szCs w:val="24"/>
        </w:rPr>
        <w:t xml:space="preserve"> </w:t>
      </w:r>
    </w:p>
    <w:p w14:paraId="749DEBF3" w14:textId="77777777" w:rsidR="00E72CA9" w:rsidRDefault="00D516E3">
      <w:pPr>
        <w:jc w:val="both"/>
        <w:rPr>
          <w:rFonts w:eastAsia="Times New Roman" w:cstheme="minorHAnsi"/>
          <w:szCs w:val="24"/>
        </w:rPr>
      </w:pPr>
      <w:r>
        <w:rPr>
          <w:rFonts w:eastAsia="Times New Roman" w:cstheme="minorHAnsi"/>
          <w:szCs w:val="24"/>
        </w:rPr>
        <w:t xml:space="preserve">Scientific Secretary: C.H. Clement, </w:t>
      </w:r>
      <w:r>
        <w:rPr>
          <w:rFonts w:eastAsia="Times New Roman" w:cstheme="minorHAnsi"/>
          <w:i/>
          <w:szCs w:val="24"/>
        </w:rPr>
        <w:t>Canada</w:t>
      </w:r>
      <w:r>
        <w:rPr>
          <w:rFonts w:eastAsia="Times New Roman" w:cstheme="minorHAnsi"/>
          <w:szCs w:val="24"/>
        </w:rPr>
        <w:t xml:space="preserve">; </w:t>
      </w:r>
      <w:r>
        <w:rPr>
          <w:rFonts w:eastAsia="Times New Roman" w:cstheme="minorHAnsi"/>
          <w:i/>
          <w:szCs w:val="24"/>
        </w:rPr>
        <w:t>sci.sec@icrp.org</w:t>
      </w:r>
      <w:r>
        <w:rPr>
          <w:rFonts w:eastAsia="Times New Roman" w:cstheme="minorHAnsi"/>
          <w:i/>
          <w:szCs w:val="24"/>
          <w:vertAlign w:val="superscript"/>
        </w:rPr>
        <w:t>*</w:t>
      </w:r>
    </w:p>
    <w:p w14:paraId="6971CBCD" w14:textId="77777777" w:rsidR="00E72CA9" w:rsidRDefault="00E72CA9">
      <w:pPr>
        <w:jc w:val="both"/>
        <w:rPr>
          <w:rFonts w:eastAsia="Times New Roman" w:cstheme="minorHAnsi"/>
          <w:szCs w:val="24"/>
        </w:rPr>
      </w:pPr>
    </w:p>
    <w:p w14:paraId="4DA4786C" w14:textId="77777777" w:rsidR="00E72CA9" w:rsidRDefault="00D516E3">
      <w:pPr>
        <w:jc w:val="both"/>
        <w:rPr>
          <w:rFonts w:eastAsia="Times New Roman" w:cstheme="minorHAnsi"/>
          <w:szCs w:val="24"/>
        </w:rPr>
      </w:pPr>
      <w:r>
        <w:rPr>
          <w:rFonts w:eastAsia="Times New Roman" w:cstheme="minorHAnsi"/>
          <w:szCs w:val="24"/>
        </w:rPr>
        <w:t xml:space="preserve">K.E. Applegate, </w:t>
      </w:r>
      <w:r>
        <w:rPr>
          <w:rFonts w:eastAsia="Times New Roman" w:cstheme="minorHAnsi"/>
          <w:i/>
          <w:szCs w:val="24"/>
        </w:rPr>
        <w:t>USA</w:t>
      </w:r>
      <w:r>
        <w:rPr>
          <w:rFonts w:eastAsia="Times New Roman" w:cstheme="minorHAnsi"/>
          <w:szCs w:val="24"/>
        </w:rPr>
        <w:tab/>
      </w:r>
      <w:r>
        <w:rPr>
          <w:rFonts w:eastAsia="Times New Roman" w:cstheme="minorHAnsi"/>
          <w:szCs w:val="24"/>
        </w:rPr>
        <w:tab/>
        <w:t xml:space="preserve">D. Laurier, </w:t>
      </w:r>
      <w:r>
        <w:rPr>
          <w:rFonts w:eastAsia="Times New Roman" w:cstheme="minorHAnsi"/>
          <w:i/>
          <w:szCs w:val="24"/>
        </w:rPr>
        <w:t>France</w:t>
      </w:r>
      <w:r>
        <w:rPr>
          <w:rFonts w:eastAsia="Times New Roman" w:cstheme="minorHAnsi"/>
          <w:szCs w:val="24"/>
        </w:rPr>
        <w:tab/>
      </w:r>
      <w:r>
        <w:rPr>
          <w:rFonts w:eastAsia="Times New Roman" w:cstheme="minorHAnsi"/>
          <w:szCs w:val="24"/>
        </w:rPr>
        <w:tab/>
      </w:r>
      <w:r>
        <w:rPr>
          <w:rFonts w:eastAsia="Times New Roman" w:cstheme="minorHAnsi"/>
          <w:b/>
          <w:bCs/>
          <w:szCs w:val="24"/>
        </w:rPr>
        <w:t>Emeritus members</w:t>
      </w:r>
    </w:p>
    <w:p w14:paraId="39ACB83A" w14:textId="77777777" w:rsidR="00E72CA9" w:rsidRDefault="00D516E3">
      <w:pPr>
        <w:jc w:val="both"/>
        <w:rPr>
          <w:rFonts w:eastAsia="Times New Roman" w:cstheme="minorHAnsi"/>
          <w:szCs w:val="24"/>
        </w:rPr>
      </w:pPr>
      <w:r>
        <w:rPr>
          <w:rFonts w:eastAsia="Times New Roman" w:cstheme="minorHAnsi"/>
          <w:iCs/>
          <w:szCs w:val="24"/>
        </w:rPr>
        <w:t xml:space="preserve">F. Bochud, </w:t>
      </w:r>
      <w:r>
        <w:rPr>
          <w:rFonts w:eastAsia="Times New Roman" w:cstheme="minorHAnsi"/>
          <w:i/>
          <w:szCs w:val="24"/>
        </w:rPr>
        <w:t>Switzerland</w:t>
      </w:r>
      <w:r>
        <w:rPr>
          <w:rFonts w:eastAsia="Times New Roman" w:cstheme="minorHAnsi"/>
          <w:szCs w:val="24"/>
        </w:rPr>
        <w:tab/>
        <w:t xml:space="preserve">S. Liu, </w:t>
      </w:r>
      <w:r>
        <w:rPr>
          <w:rFonts w:eastAsia="Times New Roman" w:cstheme="minorHAnsi"/>
          <w:i/>
          <w:szCs w:val="24"/>
        </w:rPr>
        <w:t>China</w:t>
      </w:r>
      <w:r>
        <w:rPr>
          <w:rFonts w:eastAsia="Times New Roman" w:cstheme="minorHAnsi"/>
          <w:i/>
          <w:szCs w:val="24"/>
        </w:rPr>
        <w:tab/>
      </w:r>
      <w:r>
        <w:rPr>
          <w:rFonts w:eastAsia="Times New Roman" w:cstheme="minorHAnsi"/>
          <w:szCs w:val="24"/>
        </w:rPr>
        <w:tab/>
      </w:r>
      <w:r>
        <w:rPr>
          <w:rFonts w:eastAsia="Times New Roman" w:cstheme="minorHAnsi"/>
          <w:szCs w:val="24"/>
        </w:rPr>
        <w:tab/>
        <w:t xml:space="preserve">R.H. Clarke, </w:t>
      </w:r>
      <w:r>
        <w:rPr>
          <w:rFonts w:eastAsia="Times New Roman" w:cstheme="minorHAnsi"/>
          <w:i/>
          <w:szCs w:val="24"/>
        </w:rPr>
        <w:t>UK</w:t>
      </w:r>
    </w:p>
    <w:p w14:paraId="32245F9D" w14:textId="77777777" w:rsidR="00E72CA9" w:rsidRDefault="00D516E3">
      <w:pPr>
        <w:jc w:val="both"/>
        <w:rPr>
          <w:rFonts w:eastAsia="Times New Roman" w:cstheme="minorHAnsi"/>
          <w:szCs w:val="24"/>
        </w:rPr>
      </w:pPr>
      <w:r>
        <w:rPr>
          <w:rFonts w:eastAsia="Times New Roman" w:cstheme="minorHAnsi"/>
          <w:szCs w:val="24"/>
        </w:rPr>
        <w:t xml:space="preserve">K.W. Cho, </w:t>
      </w:r>
      <w:r>
        <w:rPr>
          <w:rFonts w:eastAsia="Times New Roman" w:cstheme="minorHAnsi"/>
          <w:i/>
          <w:szCs w:val="24"/>
        </w:rPr>
        <w:t>Korea</w:t>
      </w:r>
      <w:r>
        <w:rPr>
          <w:rFonts w:eastAsia="Times New Roman" w:cstheme="minorHAnsi"/>
          <w:szCs w:val="24"/>
        </w:rPr>
        <w:tab/>
      </w:r>
      <w:r>
        <w:rPr>
          <w:rFonts w:eastAsia="Times New Roman" w:cstheme="minorHAnsi"/>
          <w:szCs w:val="24"/>
        </w:rPr>
        <w:tab/>
        <w:t xml:space="preserve">S. Romanov, </w:t>
      </w:r>
      <w:r>
        <w:rPr>
          <w:rFonts w:eastAsia="Times New Roman" w:cstheme="minorHAnsi"/>
          <w:i/>
          <w:szCs w:val="24"/>
        </w:rPr>
        <w:t>Russia</w:t>
      </w:r>
      <w:r>
        <w:rPr>
          <w:rFonts w:eastAsia="Times New Roman" w:cstheme="minorHAnsi"/>
          <w:i/>
          <w:szCs w:val="24"/>
        </w:rPr>
        <w:tab/>
      </w:r>
      <w:r>
        <w:rPr>
          <w:rFonts w:eastAsia="Times New Roman" w:cstheme="minorHAnsi"/>
          <w:szCs w:val="24"/>
        </w:rPr>
        <w:tab/>
        <w:t xml:space="preserve">C. Cousins, </w:t>
      </w:r>
      <w:r>
        <w:rPr>
          <w:rFonts w:eastAsia="Times New Roman" w:cstheme="minorHAnsi"/>
          <w:i/>
          <w:szCs w:val="24"/>
        </w:rPr>
        <w:t>UK</w:t>
      </w:r>
    </w:p>
    <w:p w14:paraId="3874DC02" w14:textId="77777777" w:rsidR="00E72CA9" w:rsidRDefault="00D516E3">
      <w:pPr>
        <w:jc w:val="both"/>
        <w:rPr>
          <w:rFonts w:eastAsia="Times New Roman" w:cstheme="minorHAnsi"/>
          <w:szCs w:val="24"/>
          <w:lang w:val="de-DE"/>
        </w:rPr>
      </w:pPr>
      <w:r>
        <w:rPr>
          <w:rFonts w:eastAsia="Times New Roman" w:cstheme="minorHAnsi"/>
          <w:iCs/>
          <w:szCs w:val="24"/>
          <w:lang w:val="de-DE"/>
        </w:rPr>
        <w:t xml:space="preserve">G. Hirth, </w:t>
      </w:r>
      <w:r>
        <w:rPr>
          <w:rFonts w:eastAsia="Times New Roman" w:cstheme="minorHAnsi"/>
          <w:i/>
          <w:szCs w:val="24"/>
          <w:lang w:val="de-DE"/>
        </w:rPr>
        <w:t>Australia</w:t>
      </w:r>
      <w:r>
        <w:rPr>
          <w:rFonts w:eastAsia="Times New Roman" w:cstheme="minorHAnsi"/>
          <w:szCs w:val="24"/>
          <w:lang w:val="de-DE"/>
        </w:rPr>
        <w:tab/>
      </w:r>
      <w:r>
        <w:rPr>
          <w:rFonts w:eastAsia="Times New Roman" w:cstheme="minorHAnsi"/>
          <w:szCs w:val="24"/>
          <w:lang w:val="de-DE"/>
        </w:rPr>
        <w:tab/>
      </w:r>
      <w:r>
        <w:rPr>
          <w:rFonts w:eastAsia="Times New Roman" w:cstheme="minorHAnsi"/>
          <w:iCs/>
          <w:szCs w:val="24"/>
          <w:lang w:val="de-DE"/>
        </w:rPr>
        <w:t xml:space="preserve">T. Schneider, </w:t>
      </w:r>
      <w:r>
        <w:rPr>
          <w:rFonts w:eastAsia="Times New Roman" w:cstheme="minorHAnsi"/>
          <w:i/>
          <w:szCs w:val="24"/>
          <w:lang w:val="de-DE"/>
        </w:rPr>
        <w:t>France</w:t>
      </w:r>
      <w:r>
        <w:rPr>
          <w:rFonts w:eastAsia="Times New Roman" w:cstheme="minorHAnsi"/>
          <w:szCs w:val="24"/>
          <w:lang w:val="de-DE"/>
        </w:rPr>
        <w:tab/>
      </w:r>
      <w:r>
        <w:rPr>
          <w:rFonts w:eastAsia="Times New Roman" w:cstheme="minorHAnsi"/>
          <w:szCs w:val="24"/>
          <w:lang w:val="de-DE"/>
        </w:rPr>
        <w:tab/>
        <w:t xml:space="preserve">J. Lochard, </w:t>
      </w:r>
      <w:r>
        <w:rPr>
          <w:rFonts w:eastAsia="Times New Roman" w:cstheme="minorHAnsi"/>
          <w:i/>
          <w:szCs w:val="24"/>
          <w:lang w:val="de-DE"/>
        </w:rPr>
        <w:t>France</w:t>
      </w:r>
    </w:p>
    <w:p w14:paraId="762907A0" w14:textId="77777777" w:rsidR="00E72CA9" w:rsidRDefault="00D516E3">
      <w:pPr>
        <w:jc w:val="both"/>
        <w:rPr>
          <w:rFonts w:eastAsia="Times New Roman" w:cstheme="minorHAnsi"/>
          <w:szCs w:val="24"/>
          <w:lang w:val="de-DE"/>
        </w:rPr>
      </w:pPr>
      <w:r>
        <w:rPr>
          <w:rFonts w:eastAsia="Times New Roman" w:cstheme="minorHAnsi"/>
          <w:szCs w:val="24"/>
          <w:lang w:val="de-DE"/>
        </w:rPr>
        <w:t xml:space="preserve">M. Kai, </w:t>
      </w:r>
      <w:r>
        <w:rPr>
          <w:rFonts w:eastAsia="Times New Roman" w:cstheme="minorHAnsi"/>
          <w:i/>
          <w:szCs w:val="24"/>
          <w:lang w:val="de-DE"/>
        </w:rPr>
        <w:t>Japan</w:t>
      </w:r>
      <w:r>
        <w:rPr>
          <w:rFonts w:eastAsia="Times New Roman" w:cstheme="minorHAnsi"/>
          <w:szCs w:val="24"/>
          <w:lang w:val="de-DE"/>
        </w:rPr>
        <w:tab/>
      </w:r>
      <w:r>
        <w:rPr>
          <w:rFonts w:eastAsia="Times New Roman" w:cstheme="minorHAnsi"/>
          <w:szCs w:val="24"/>
          <w:lang w:val="de-DE"/>
        </w:rPr>
        <w:tab/>
      </w:r>
      <w:r>
        <w:rPr>
          <w:rFonts w:eastAsia="Times New Roman" w:cstheme="minorHAnsi"/>
          <w:szCs w:val="24"/>
          <w:lang w:val="de-DE"/>
        </w:rPr>
        <w:tab/>
        <w:t xml:space="preserve">A. Wojcik, </w:t>
      </w:r>
      <w:r>
        <w:rPr>
          <w:rFonts w:eastAsia="Times New Roman" w:cstheme="minorHAnsi"/>
          <w:i/>
          <w:iCs/>
          <w:szCs w:val="24"/>
          <w:lang w:val="de-DE"/>
        </w:rPr>
        <w:t>Sweden</w:t>
      </w:r>
      <w:r>
        <w:rPr>
          <w:rFonts w:eastAsia="Times New Roman" w:cstheme="minorHAnsi"/>
          <w:szCs w:val="24"/>
          <w:lang w:val="de-DE"/>
        </w:rPr>
        <w:tab/>
      </w:r>
      <w:r>
        <w:rPr>
          <w:rFonts w:eastAsia="Times New Roman" w:cstheme="minorHAnsi"/>
          <w:szCs w:val="24"/>
          <w:lang w:val="de-DE"/>
        </w:rPr>
        <w:tab/>
        <w:t xml:space="preserve">F.A. Mettler Jr, </w:t>
      </w:r>
      <w:r>
        <w:rPr>
          <w:rFonts w:eastAsia="Times New Roman" w:cstheme="minorHAnsi"/>
          <w:i/>
          <w:szCs w:val="24"/>
          <w:lang w:val="de-DE"/>
        </w:rPr>
        <w:t>USA</w:t>
      </w:r>
    </w:p>
    <w:p w14:paraId="1F16693B" w14:textId="77777777" w:rsidR="00E72CA9" w:rsidRDefault="00D516E3">
      <w:pPr>
        <w:jc w:val="both"/>
        <w:rPr>
          <w:rFonts w:eastAsia="Times New Roman" w:cstheme="minorHAnsi"/>
          <w:szCs w:val="24"/>
        </w:rPr>
      </w:pPr>
      <w:r>
        <w:rPr>
          <w:rFonts w:eastAsia="Times New Roman" w:cstheme="minorHAnsi"/>
          <w:szCs w:val="24"/>
          <w:lang w:val="de-DE"/>
        </w:rPr>
        <w:tab/>
      </w:r>
      <w:r>
        <w:rPr>
          <w:rFonts w:eastAsia="Times New Roman" w:cstheme="minorHAnsi"/>
          <w:szCs w:val="24"/>
          <w:lang w:val="de-DE"/>
        </w:rPr>
        <w:tab/>
      </w:r>
      <w:r>
        <w:rPr>
          <w:rFonts w:eastAsia="Times New Roman" w:cstheme="minorHAnsi"/>
          <w:szCs w:val="24"/>
          <w:lang w:val="de-DE"/>
        </w:rPr>
        <w:tab/>
      </w:r>
      <w:r>
        <w:rPr>
          <w:rFonts w:eastAsia="Times New Roman" w:cstheme="minorHAnsi"/>
          <w:szCs w:val="24"/>
          <w:lang w:val="de-DE"/>
        </w:rPr>
        <w:tab/>
      </w:r>
      <w:r>
        <w:rPr>
          <w:rFonts w:eastAsia="Times New Roman" w:cstheme="minorHAnsi"/>
          <w:szCs w:val="24"/>
          <w:lang w:val="de-DE"/>
        </w:rPr>
        <w:tab/>
      </w:r>
      <w:r>
        <w:rPr>
          <w:rFonts w:eastAsia="Times New Roman" w:cstheme="minorHAnsi"/>
          <w:szCs w:val="24"/>
          <w:lang w:val="de-DE"/>
        </w:rPr>
        <w:tab/>
      </w:r>
      <w:r>
        <w:rPr>
          <w:rFonts w:eastAsia="Times New Roman" w:cstheme="minorHAnsi"/>
          <w:szCs w:val="24"/>
          <w:lang w:val="de-DE"/>
        </w:rPr>
        <w:tab/>
      </w:r>
      <w:r>
        <w:rPr>
          <w:rFonts w:eastAsia="Times New Roman" w:cstheme="minorHAnsi"/>
          <w:szCs w:val="24"/>
          <w:lang w:val="de-DE"/>
        </w:rPr>
        <w:tab/>
      </w:r>
      <w:r>
        <w:rPr>
          <w:rFonts w:eastAsia="Times New Roman" w:cstheme="minorHAnsi"/>
          <w:szCs w:val="24"/>
        </w:rPr>
        <w:t xml:space="preserve">R.J. </w:t>
      </w:r>
      <w:proofErr w:type="spellStart"/>
      <w:r>
        <w:rPr>
          <w:rFonts w:eastAsia="Times New Roman" w:cstheme="minorHAnsi"/>
          <w:szCs w:val="24"/>
        </w:rPr>
        <w:t>Pentreath</w:t>
      </w:r>
      <w:proofErr w:type="spellEnd"/>
      <w:r>
        <w:rPr>
          <w:rFonts w:eastAsia="Times New Roman" w:cstheme="minorHAnsi"/>
          <w:szCs w:val="24"/>
        </w:rPr>
        <w:t xml:space="preserve">, </w:t>
      </w:r>
      <w:r>
        <w:rPr>
          <w:rFonts w:eastAsia="Times New Roman" w:cstheme="minorHAnsi"/>
          <w:i/>
          <w:szCs w:val="24"/>
        </w:rPr>
        <w:t>UK</w:t>
      </w:r>
    </w:p>
    <w:p w14:paraId="39CFC9AF" w14:textId="77777777" w:rsidR="00E72CA9" w:rsidRDefault="00D516E3">
      <w:pPr>
        <w:jc w:val="both"/>
        <w:rPr>
          <w:rFonts w:eastAsia="Times New Roman" w:cstheme="minorHAnsi"/>
          <w:i/>
          <w:szCs w:val="24"/>
        </w:rPr>
      </w:pP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t xml:space="preserve">R.J. Preston, </w:t>
      </w:r>
      <w:r>
        <w:rPr>
          <w:rFonts w:eastAsia="Times New Roman" w:cstheme="minorHAnsi"/>
          <w:i/>
          <w:szCs w:val="24"/>
        </w:rPr>
        <w:t>USA</w:t>
      </w:r>
    </w:p>
    <w:p w14:paraId="737922D3" w14:textId="77777777" w:rsidR="00E72CA9" w:rsidRDefault="00D516E3">
      <w:pPr>
        <w:ind w:left="5040" w:firstLine="720"/>
        <w:jc w:val="both"/>
        <w:rPr>
          <w:rFonts w:eastAsia="Times New Roman" w:cstheme="minorHAnsi"/>
          <w:i/>
          <w:szCs w:val="24"/>
        </w:rPr>
      </w:pPr>
      <w:r>
        <w:rPr>
          <w:rFonts w:eastAsia="Times New Roman" w:cstheme="minorHAnsi"/>
          <w:szCs w:val="24"/>
        </w:rPr>
        <w:t xml:space="preserve">C. </w:t>
      </w:r>
      <w:proofErr w:type="spellStart"/>
      <w:r>
        <w:rPr>
          <w:rFonts w:eastAsia="Times New Roman" w:cstheme="minorHAnsi"/>
          <w:szCs w:val="24"/>
        </w:rPr>
        <w:t>Streffer</w:t>
      </w:r>
      <w:proofErr w:type="spellEnd"/>
      <w:r>
        <w:rPr>
          <w:rFonts w:eastAsia="Times New Roman" w:cstheme="minorHAnsi"/>
          <w:szCs w:val="24"/>
        </w:rPr>
        <w:t xml:space="preserve">, </w:t>
      </w:r>
      <w:r>
        <w:rPr>
          <w:rFonts w:eastAsia="Times New Roman" w:cstheme="minorHAnsi"/>
          <w:i/>
          <w:szCs w:val="24"/>
        </w:rPr>
        <w:t>Germany</w:t>
      </w:r>
    </w:p>
    <w:p w14:paraId="0939FA35" w14:textId="77777777" w:rsidR="00E72CA9" w:rsidRDefault="00D516E3">
      <w:pPr>
        <w:jc w:val="both"/>
        <w:rPr>
          <w:rFonts w:eastAsia="Times New Roman" w:cstheme="minorHAnsi"/>
          <w:i/>
          <w:szCs w:val="24"/>
        </w:rPr>
      </w:pP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r>
      <w:r>
        <w:rPr>
          <w:rFonts w:eastAsia="Times New Roman" w:cstheme="minorHAnsi"/>
          <w:szCs w:val="24"/>
        </w:rPr>
        <w:tab/>
        <w:t xml:space="preserve">E. </w:t>
      </w:r>
      <w:proofErr w:type="spellStart"/>
      <w:r>
        <w:rPr>
          <w:rFonts w:eastAsia="Times New Roman" w:cstheme="minorHAnsi"/>
          <w:szCs w:val="24"/>
        </w:rPr>
        <w:t>Vañó</w:t>
      </w:r>
      <w:proofErr w:type="spellEnd"/>
      <w:r>
        <w:rPr>
          <w:rFonts w:eastAsia="Times New Roman" w:cstheme="minorHAnsi"/>
          <w:szCs w:val="24"/>
        </w:rPr>
        <w:t xml:space="preserve">, </w:t>
      </w:r>
      <w:r>
        <w:rPr>
          <w:rFonts w:eastAsia="Times New Roman" w:cstheme="minorHAnsi"/>
          <w:i/>
          <w:szCs w:val="24"/>
        </w:rPr>
        <w:t>Spain</w:t>
      </w:r>
    </w:p>
    <w:p w14:paraId="104078FB" w14:textId="77777777" w:rsidR="00E72CA9" w:rsidRDefault="00D516E3">
      <w:pPr>
        <w:spacing w:before="240" w:after="240"/>
        <w:jc w:val="both"/>
        <w:rPr>
          <w:rFonts w:eastAsia="Times New Roman" w:cstheme="minorHAnsi"/>
          <w:szCs w:val="24"/>
        </w:rPr>
      </w:pPr>
      <w:r>
        <w:rPr>
          <w:rFonts w:eastAsia="Times New Roman" w:cstheme="minorHAnsi"/>
          <w:szCs w:val="24"/>
          <w:vertAlign w:val="superscript"/>
        </w:rPr>
        <w:t>*</w:t>
      </w:r>
      <w:r>
        <w:rPr>
          <w:rFonts w:eastAsia="Times New Roman" w:cstheme="minorHAnsi"/>
          <w:szCs w:val="24"/>
        </w:rPr>
        <w:t>Although formally not a Main Commission member since 1988, the Scientific Secretary is an integral part of the Main Commission.</w:t>
      </w:r>
    </w:p>
    <w:sectPr w:rsidR="00E72CA9">
      <w:pgSz w:w="11906" w:h="16838" w:code="9"/>
      <w:pgMar w:top="1440" w:right="1440" w:bottom="1440" w:left="1440" w:header="720" w:footer="720" w:gutter="0"/>
      <w:lnNumType w:countBy="1" w:restart="continuous"/>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750B03" w14:textId="77777777" w:rsidR="00E72CA9" w:rsidRDefault="00D516E3">
      <w:r>
        <w:separator/>
      </w:r>
    </w:p>
  </w:endnote>
  <w:endnote w:type="continuationSeparator" w:id="0">
    <w:p w14:paraId="6CD31550" w14:textId="77777777" w:rsidR="00E72CA9" w:rsidRDefault="00D516E3">
      <w:r>
        <w:continuationSeparator/>
      </w:r>
    </w:p>
  </w:endnote>
  <w:endnote w:type="continuationNotice" w:id="1">
    <w:p w14:paraId="1718C087" w14:textId="77777777" w:rsidR="00E72CA9" w:rsidRDefault="00E72C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Lucida Grande">
    <w:charset w:val="00"/>
    <w:family w:val="swiss"/>
    <w:pitch w:val="variable"/>
    <w:sig w:usb0="E1000AEF" w:usb1="5000A1FF" w:usb2="00000000" w:usb3="00000000" w:csb0="000001B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PMingLiU, 新細明體">
    <w:altName w:val="ＭＳ 明朝"/>
    <w:panose1 w:val="00000000000000000000"/>
    <w:charset w:val="80"/>
    <w:family w:val="roman"/>
    <w:notTrueType/>
    <w:pitch w:val="default"/>
  </w:font>
  <w:font w:name="Times-Roman">
    <w:altName w:val="Times New Roman"/>
    <w:panose1 w:val="00000000000000000000"/>
    <w:charset w:val="00"/>
    <w:family w:val="roman"/>
    <w:notTrueType/>
    <w:pitch w:val="default"/>
    <w:sig w:usb0="00000003" w:usb1="00000000" w:usb2="00000000" w:usb3="00000000" w:csb0="00000001" w:csb1="00000000"/>
  </w:font>
  <w:font w:name="NSimSun">
    <w:panose1 w:val="02010609030101010101"/>
    <w:charset w:val="86"/>
    <w:family w:val="modern"/>
    <w:pitch w:val="fixed"/>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6138B5" w14:textId="77777777" w:rsidR="00E72CA9" w:rsidRDefault="00D516E3">
    <w:pPr>
      <w:framePr w:wrap="around" w:vAnchor="text" w:hAnchor="margin" w:xAlign="center" w:y="1"/>
    </w:pPr>
    <w:r>
      <w:fldChar w:fldCharType="begin"/>
    </w:r>
    <w:r>
      <w:instrText xml:space="preserve">PAGE  </w:instrText>
    </w:r>
    <w:r>
      <w:fldChar w:fldCharType="separate"/>
    </w:r>
    <w:r>
      <w:rPr>
        <w:noProof/>
      </w:rPr>
      <w:t>32</w:t>
    </w:r>
    <w:r>
      <w:fldChar w:fldCharType="end"/>
    </w:r>
  </w:p>
  <w:p w14:paraId="39C96201" w14:textId="77777777" w:rsidR="00E72CA9" w:rsidRDefault="00E72CA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CD2B05" w14:textId="77777777" w:rsidR="00E72CA9" w:rsidRDefault="00D516E3">
    <w:pPr>
      <w:framePr w:wrap="around" w:vAnchor="text" w:hAnchor="margin" w:xAlign="center" w:y="1"/>
    </w:pPr>
    <w:r>
      <w:fldChar w:fldCharType="begin"/>
    </w:r>
    <w:r>
      <w:instrText xml:space="preserve">PAGE  </w:instrText>
    </w:r>
    <w:r>
      <w:fldChar w:fldCharType="separate"/>
    </w:r>
    <w:r>
      <w:rPr>
        <w:noProof/>
      </w:rPr>
      <w:t>31</w:t>
    </w:r>
    <w:r>
      <w:fldChar w:fldCharType="end"/>
    </w:r>
  </w:p>
  <w:p w14:paraId="4DF803E8" w14:textId="77777777" w:rsidR="00E72CA9" w:rsidRDefault="00E72CA9">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183EA5" w14:textId="77777777" w:rsidR="00E72CA9" w:rsidRDefault="00D516E3">
      <w:r>
        <w:separator/>
      </w:r>
    </w:p>
  </w:footnote>
  <w:footnote w:type="continuationSeparator" w:id="0">
    <w:p w14:paraId="5E4FB7E6" w14:textId="77777777" w:rsidR="00E72CA9" w:rsidRDefault="00D516E3">
      <w:r>
        <w:continuationSeparator/>
      </w:r>
    </w:p>
  </w:footnote>
  <w:footnote w:type="continuationNotice" w:id="1">
    <w:p w14:paraId="734E75FA" w14:textId="77777777" w:rsidR="00E72CA9" w:rsidRDefault="00E72CA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67EC9" w14:textId="77777777" w:rsidR="00E72CA9" w:rsidRDefault="00D516E3">
    <w:r>
      <w:rPr>
        <w:noProof/>
        <w:lang w:val="fr-FR" w:eastAsia="fr-FR"/>
      </w:rPr>
      <w:drawing>
        <wp:inline distT="0" distB="0" distL="0" distR="0" wp14:anchorId="48E50822" wp14:editId="1575E416">
          <wp:extent cx="1397635" cy="483235"/>
          <wp:effectExtent l="0" t="0" r="0" b="0"/>
          <wp:docPr id="21" name="Image 18" descr="ICRP logo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CRP logo 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7635" cy="483235"/>
                  </a:xfrm>
                  <a:prstGeom prst="rect">
                    <a:avLst/>
                  </a:prstGeom>
                  <a:noFill/>
                  <a:ln>
                    <a:noFill/>
                  </a:ln>
                </pic:spPr>
              </pic:pic>
            </a:graphicData>
          </a:graphic>
        </wp:inline>
      </w:drawing>
    </w:r>
    <w:r>
      <w:rPr>
        <w:rFonts w:ascii="Arial" w:hAnsi="Arial" w:cs="Arial"/>
        <w:b/>
        <w:color w:val="005DAA"/>
        <w:sz w:val="20"/>
      </w:rPr>
      <w:t xml:space="preserve"> DRAFT </w:t>
    </w:r>
    <w:r>
      <w:rPr>
        <w:rFonts w:ascii="Arial" w:hAnsi="Arial" w:cs="Arial" w:hint="eastAsia"/>
        <w:b/>
        <w:color w:val="005DAA"/>
        <w:sz w:val="20"/>
        <w:lang w:eastAsia="ja-JP"/>
      </w:rPr>
      <w:t xml:space="preserve">REPORT </w:t>
    </w:r>
    <w:r>
      <w:rPr>
        <w:rFonts w:ascii="Arial" w:hAnsi="Arial" w:cs="Arial"/>
        <w:b/>
        <w:color w:val="005DAA"/>
        <w:sz w:val="20"/>
      </w:rPr>
      <w:t xml:space="preserve">FOR </w:t>
    </w:r>
    <w:r>
      <w:rPr>
        <w:rFonts w:ascii="Arial" w:hAnsi="Arial" w:cs="Arial" w:hint="eastAsia"/>
        <w:b/>
        <w:color w:val="005DAA"/>
        <w:sz w:val="20"/>
        <w:lang w:eastAsia="ja-JP"/>
      </w:rPr>
      <w:t>CONSULTATION: DO NOT REFERENCE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F83E69" w14:textId="77777777" w:rsidR="00E72CA9" w:rsidRDefault="00D516E3">
    <w:r>
      <w:rPr>
        <w:noProof/>
        <w:lang w:val="fr-FR" w:eastAsia="fr-FR"/>
      </w:rPr>
      <w:drawing>
        <wp:inline distT="0" distB="0" distL="0" distR="0" wp14:anchorId="66BBCA66" wp14:editId="4D50A3EA">
          <wp:extent cx="1397635" cy="483235"/>
          <wp:effectExtent l="0" t="0" r="0" b="0"/>
          <wp:docPr id="41" name="Image 18" descr="ICRP logo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CRP logo 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7635" cy="483235"/>
                  </a:xfrm>
                  <a:prstGeom prst="rect">
                    <a:avLst/>
                  </a:prstGeom>
                  <a:noFill/>
                  <a:ln>
                    <a:noFill/>
                  </a:ln>
                </pic:spPr>
              </pic:pic>
            </a:graphicData>
          </a:graphic>
        </wp:inline>
      </w:drawing>
    </w:r>
    <w:r>
      <w:rPr>
        <w:rFonts w:ascii="Arial" w:hAnsi="Arial" w:cs="Arial"/>
        <w:b/>
        <w:color w:val="005DAA"/>
        <w:sz w:val="20"/>
      </w:rPr>
      <w:t xml:space="preserve"> DRAFT </w:t>
    </w:r>
    <w:r>
      <w:rPr>
        <w:rFonts w:ascii="Arial" w:hAnsi="Arial" w:cs="Arial" w:hint="eastAsia"/>
        <w:b/>
        <w:color w:val="005DAA"/>
        <w:sz w:val="20"/>
        <w:lang w:eastAsia="ja-JP"/>
      </w:rPr>
      <w:t xml:space="preserve">REPORT </w:t>
    </w:r>
    <w:r>
      <w:rPr>
        <w:rFonts w:ascii="Arial" w:hAnsi="Arial" w:cs="Arial"/>
        <w:b/>
        <w:color w:val="005DAA"/>
        <w:sz w:val="20"/>
      </w:rPr>
      <w:t xml:space="preserve">FOR </w:t>
    </w:r>
    <w:r>
      <w:rPr>
        <w:rFonts w:ascii="Arial" w:hAnsi="Arial" w:cs="Arial" w:hint="eastAsia"/>
        <w:b/>
        <w:color w:val="005DAA"/>
        <w:sz w:val="20"/>
        <w:lang w:eastAsia="ja-JP"/>
      </w:rPr>
      <w:t>CONSULTATION: DO NOT REFERENCE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E74275E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3C976BE"/>
    <w:multiLevelType w:val="hybridMultilevel"/>
    <w:tmpl w:val="56464CD8"/>
    <w:lvl w:ilvl="0" w:tplc="5C98CE22">
      <w:start w:val="1"/>
      <w:numFmt w:val="bullet"/>
      <w:pStyle w:val="ICRPbasicbullet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A60000"/>
    <w:multiLevelType w:val="multilevel"/>
    <w:tmpl w:val="643CE450"/>
    <w:lvl w:ilvl="0">
      <w:start w:val="1"/>
      <w:numFmt w:val="decimal"/>
      <w:pStyle w:val="1"/>
      <w:lvlText w:val="%1."/>
      <w:lvlJc w:val="left"/>
      <w:pPr>
        <w:tabs>
          <w:tab w:val="num" w:pos="360"/>
        </w:tabs>
        <w:ind w:left="360" w:hanging="360"/>
      </w:pPr>
      <w:rPr>
        <w:rFonts w:ascii="Times New Roman" w:hAnsi="Times New Roman" w:hint="default"/>
        <w:b/>
        <w:i w:val="0"/>
        <w:sz w:val="28"/>
        <w:szCs w:val="28"/>
      </w:rPr>
    </w:lvl>
    <w:lvl w:ilvl="1">
      <w:start w:val="1"/>
      <w:numFmt w:val="decimal"/>
      <w:pStyle w:val="2"/>
      <w:lvlText w:val="%1.%2."/>
      <w:lvlJc w:val="left"/>
      <w:pPr>
        <w:tabs>
          <w:tab w:val="num" w:pos="1429"/>
        </w:tabs>
        <w:ind w:left="1429" w:hanging="578"/>
      </w:pPr>
      <w:rPr>
        <w:rFonts w:ascii="Times New Roman" w:hAnsi="Times New Roman" w:hint="default"/>
        <w:b/>
        <w:i w:val="0"/>
        <w:sz w:val="28"/>
        <w:szCs w:val="28"/>
      </w:rPr>
    </w:lvl>
    <w:lvl w:ilvl="2">
      <w:start w:val="1"/>
      <w:numFmt w:val="decimal"/>
      <w:pStyle w:val="3"/>
      <w:lvlText w:val="%1.%2.%3."/>
      <w:lvlJc w:val="left"/>
      <w:pPr>
        <w:tabs>
          <w:tab w:val="num" w:pos="720"/>
        </w:tabs>
        <w:ind w:left="0" w:firstLine="0"/>
      </w:pPr>
      <w:rPr>
        <w:rFonts w:ascii="Times New Roman" w:hAnsi="Times New Roman" w:hint="default"/>
        <w:b/>
        <w:i w:val="0"/>
        <w:sz w:val="24"/>
      </w:rPr>
    </w:lvl>
    <w:lvl w:ilvl="3">
      <w:start w:val="1"/>
      <w:numFmt w:val="decimal"/>
      <w:pStyle w:val="4"/>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15:restartNumberingAfterBreak="0">
    <w:nsid w:val="095E7D2E"/>
    <w:multiLevelType w:val="multilevel"/>
    <w:tmpl w:val="4C32ACD8"/>
    <w:lvl w:ilvl="0">
      <w:start w:val="1"/>
      <w:numFmt w:val="decimal"/>
      <w:suff w:val="space"/>
      <w:lvlText w:val="(%1)"/>
      <w:lvlJc w:val="left"/>
      <w:pPr>
        <w:ind w:left="142" w:firstLine="284"/>
      </w:pPr>
      <w:rPr>
        <w:rFonts w:ascii="Times New Roman" w:hAnsi="Times New Roman" w:cs="Times New Roman" w:hint="eastAsia"/>
        <w:b w:val="0"/>
        <w:i w:val="0"/>
        <w:caps w:val="0"/>
        <w:smallCaps w:val="0"/>
        <w:strike w:val="0"/>
        <w:dstrike w:val="0"/>
        <w:vanish w:val="0"/>
        <w:color w:val="000000"/>
        <w:position w:val="0"/>
        <w:sz w:val="24"/>
        <w:vertAlign w:val="baseline"/>
      </w:rPr>
    </w:lvl>
    <w:lvl w:ilvl="1">
      <w:start w:val="1"/>
      <w:numFmt w:val="lowerRoman"/>
      <w:lvlText w:val="(%2)"/>
      <w:lvlJc w:val="left"/>
      <w:pPr>
        <w:ind w:left="1800" w:hanging="720"/>
      </w:pPr>
      <w:rPr>
        <w:rFonts w:hint="eastAsia"/>
      </w:rPr>
    </w:lvl>
    <w:lvl w:ilvl="2">
      <w:start w:val="1"/>
      <w:numFmt w:val="bullet"/>
      <w:lvlText w:val=""/>
      <w:lvlJc w:val="left"/>
      <w:pPr>
        <w:ind w:left="2340" w:hanging="360"/>
      </w:pPr>
      <w:rPr>
        <w:rFonts w:ascii="Symbol" w:hAnsi="Symbol" w:cs="Symbol" w:hint="default"/>
      </w:rPr>
    </w:lvl>
    <w:lvl w:ilvl="3">
      <w:start w:val="1"/>
      <w:numFmt w:val="lowerLetter"/>
      <w:lvlText w:val="(%4)"/>
      <w:lvlJc w:val="left"/>
      <w:pPr>
        <w:ind w:left="2880" w:hanging="360"/>
      </w:pPr>
      <w:rPr>
        <w:rFonts w:hint="eastAsia"/>
      </w:rPr>
    </w:lvl>
    <w:lvl w:ilvl="4">
      <w:start w:val="1"/>
      <w:numFmt w:val="lowerLetter"/>
      <w:lvlText w:val="%5."/>
      <w:lvlJc w:val="left"/>
      <w:pPr>
        <w:ind w:left="3600" w:hanging="360"/>
      </w:pPr>
      <w:rPr>
        <w:rFonts w:hint="eastAsia"/>
      </w:rPr>
    </w:lvl>
    <w:lvl w:ilvl="5">
      <w:start w:val="1"/>
      <w:numFmt w:val="lowerRoman"/>
      <w:lvlText w:val="%6."/>
      <w:lvlJc w:val="right"/>
      <w:pPr>
        <w:ind w:left="4320" w:hanging="180"/>
      </w:pPr>
      <w:rPr>
        <w:rFonts w:hint="eastAsia"/>
      </w:rPr>
    </w:lvl>
    <w:lvl w:ilvl="6">
      <w:start w:val="1"/>
      <w:numFmt w:val="decimal"/>
      <w:lvlText w:val="%7."/>
      <w:lvlJc w:val="left"/>
      <w:pPr>
        <w:ind w:left="5040" w:hanging="360"/>
      </w:pPr>
      <w:rPr>
        <w:rFonts w:hint="eastAsia"/>
      </w:rPr>
    </w:lvl>
    <w:lvl w:ilvl="7">
      <w:start w:val="1"/>
      <w:numFmt w:val="lowerLetter"/>
      <w:lvlText w:val="%8."/>
      <w:lvlJc w:val="left"/>
      <w:pPr>
        <w:ind w:left="5760" w:hanging="360"/>
      </w:pPr>
      <w:rPr>
        <w:rFonts w:hint="eastAsia"/>
      </w:rPr>
    </w:lvl>
    <w:lvl w:ilvl="8">
      <w:start w:val="1"/>
      <w:numFmt w:val="lowerRoman"/>
      <w:lvlText w:val="%9."/>
      <w:lvlJc w:val="right"/>
      <w:pPr>
        <w:ind w:left="6480" w:hanging="180"/>
      </w:pPr>
      <w:rPr>
        <w:rFonts w:hint="eastAsia"/>
      </w:rPr>
    </w:lvl>
  </w:abstractNum>
  <w:abstractNum w:abstractNumId="4" w15:restartNumberingAfterBreak="0">
    <w:nsid w:val="0B55744F"/>
    <w:multiLevelType w:val="multilevel"/>
    <w:tmpl w:val="CE2E3BFA"/>
    <w:styleLink w:val="10"/>
    <w:lvl w:ilvl="0">
      <w:start w:val="1"/>
      <w:numFmt w:val="decimal"/>
      <w:lvlText w:val="%1."/>
      <w:lvlJc w:val="left"/>
      <w:pPr>
        <w:tabs>
          <w:tab w:val="num" w:pos="360"/>
        </w:tabs>
        <w:ind w:left="360" w:hanging="360"/>
      </w:pPr>
      <w:rPr>
        <w:rFonts w:ascii="Times New Roman" w:hAnsi="Times New Roman" w:hint="default"/>
        <w:b/>
        <w:i w:val="0"/>
        <w:sz w:val="28"/>
        <w:szCs w:val="28"/>
      </w:rPr>
    </w:lvl>
    <w:lvl w:ilvl="1">
      <w:start w:val="1"/>
      <w:numFmt w:val="decimal"/>
      <w:lvlText w:val="%1.%2."/>
      <w:lvlJc w:val="left"/>
      <w:pPr>
        <w:tabs>
          <w:tab w:val="num" w:pos="5168"/>
        </w:tabs>
        <w:ind w:left="5168" w:hanging="578"/>
      </w:pPr>
      <w:rPr>
        <w:rFonts w:ascii="Times New Roman" w:hAnsi="Times New Roman" w:hint="default"/>
        <w:b/>
        <w:i w:val="0"/>
        <w:sz w:val="28"/>
        <w:szCs w:val="28"/>
      </w:rPr>
    </w:lvl>
    <w:lvl w:ilvl="2">
      <w:start w:val="1"/>
      <w:numFmt w:val="decimal"/>
      <w:lvlText w:val="%1.%2.%3."/>
      <w:lvlJc w:val="left"/>
      <w:pPr>
        <w:tabs>
          <w:tab w:val="num" w:pos="720"/>
        </w:tabs>
        <w:ind w:left="0" w:firstLine="0"/>
      </w:pPr>
      <w:rPr>
        <w:rFonts w:ascii="Times New Roman" w:hAnsi="Times New Roman" w:hint="default"/>
        <w:b/>
        <w:i w:val="0"/>
        <w:sz w:val="24"/>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2E2A3AB3"/>
    <w:multiLevelType w:val="hybridMultilevel"/>
    <w:tmpl w:val="2C4CEC1C"/>
    <w:lvl w:ilvl="0" w:tplc="8BEC5D54">
      <w:start w:val="1"/>
      <w:numFmt w:val="bullet"/>
      <w:lvlText w:val=""/>
      <w:lvlJc w:val="left"/>
      <w:pPr>
        <w:tabs>
          <w:tab w:val="num" w:pos="360"/>
        </w:tabs>
        <w:ind w:left="360" w:hanging="360"/>
      </w:pPr>
      <w:rPr>
        <w:rFonts w:ascii="Symbol" w:hAnsi="Symbol" w:cs="Times New Roman" w:hint="default"/>
        <w:color w:val="auto"/>
      </w:rPr>
    </w:lvl>
    <w:lvl w:ilvl="1" w:tplc="041D0003" w:tentative="1">
      <w:start w:val="1"/>
      <w:numFmt w:val="bullet"/>
      <w:lvlText w:val="o"/>
      <w:lvlJc w:val="left"/>
      <w:pPr>
        <w:tabs>
          <w:tab w:val="num" w:pos="74"/>
        </w:tabs>
        <w:ind w:left="74" w:hanging="360"/>
      </w:pPr>
      <w:rPr>
        <w:rFonts w:ascii="Courier New" w:hAnsi="Courier New" w:hint="default"/>
      </w:rPr>
    </w:lvl>
    <w:lvl w:ilvl="2" w:tplc="041D0005" w:tentative="1">
      <w:start w:val="1"/>
      <w:numFmt w:val="bullet"/>
      <w:lvlText w:val=""/>
      <w:lvlJc w:val="left"/>
      <w:pPr>
        <w:tabs>
          <w:tab w:val="num" w:pos="794"/>
        </w:tabs>
        <w:ind w:left="794" w:hanging="360"/>
      </w:pPr>
      <w:rPr>
        <w:rFonts w:ascii="Wingdings" w:hAnsi="Wingdings" w:hint="default"/>
      </w:rPr>
    </w:lvl>
    <w:lvl w:ilvl="3" w:tplc="041D0001" w:tentative="1">
      <w:start w:val="1"/>
      <w:numFmt w:val="bullet"/>
      <w:lvlText w:val=""/>
      <w:lvlJc w:val="left"/>
      <w:pPr>
        <w:tabs>
          <w:tab w:val="num" w:pos="1514"/>
        </w:tabs>
        <w:ind w:left="1514" w:hanging="360"/>
      </w:pPr>
      <w:rPr>
        <w:rFonts w:ascii="Symbol" w:hAnsi="Symbol" w:hint="default"/>
      </w:rPr>
    </w:lvl>
    <w:lvl w:ilvl="4" w:tplc="041D0003" w:tentative="1">
      <w:start w:val="1"/>
      <w:numFmt w:val="bullet"/>
      <w:lvlText w:val="o"/>
      <w:lvlJc w:val="left"/>
      <w:pPr>
        <w:tabs>
          <w:tab w:val="num" w:pos="2234"/>
        </w:tabs>
        <w:ind w:left="2234" w:hanging="360"/>
      </w:pPr>
      <w:rPr>
        <w:rFonts w:ascii="Courier New" w:hAnsi="Courier New" w:hint="default"/>
      </w:rPr>
    </w:lvl>
    <w:lvl w:ilvl="5" w:tplc="041D0005" w:tentative="1">
      <w:start w:val="1"/>
      <w:numFmt w:val="bullet"/>
      <w:lvlText w:val=""/>
      <w:lvlJc w:val="left"/>
      <w:pPr>
        <w:tabs>
          <w:tab w:val="num" w:pos="2954"/>
        </w:tabs>
        <w:ind w:left="2954" w:hanging="360"/>
      </w:pPr>
      <w:rPr>
        <w:rFonts w:ascii="Wingdings" w:hAnsi="Wingdings" w:hint="default"/>
      </w:rPr>
    </w:lvl>
    <w:lvl w:ilvl="6" w:tplc="041D0001" w:tentative="1">
      <w:start w:val="1"/>
      <w:numFmt w:val="bullet"/>
      <w:lvlText w:val=""/>
      <w:lvlJc w:val="left"/>
      <w:pPr>
        <w:tabs>
          <w:tab w:val="num" w:pos="3674"/>
        </w:tabs>
        <w:ind w:left="3674" w:hanging="360"/>
      </w:pPr>
      <w:rPr>
        <w:rFonts w:ascii="Symbol" w:hAnsi="Symbol" w:hint="default"/>
      </w:rPr>
    </w:lvl>
    <w:lvl w:ilvl="7" w:tplc="041D0003" w:tentative="1">
      <w:start w:val="1"/>
      <w:numFmt w:val="bullet"/>
      <w:lvlText w:val="o"/>
      <w:lvlJc w:val="left"/>
      <w:pPr>
        <w:tabs>
          <w:tab w:val="num" w:pos="4394"/>
        </w:tabs>
        <w:ind w:left="4394" w:hanging="360"/>
      </w:pPr>
      <w:rPr>
        <w:rFonts w:ascii="Courier New" w:hAnsi="Courier New" w:hint="default"/>
      </w:rPr>
    </w:lvl>
    <w:lvl w:ilvl="8" w:tplc="041D0005" w:tentative="1">
      <w:start w:val="1"/>
      <w:numFmt w:val="bullet"/>
      <w:lvlText w:val=""/>
      <w:lvlJc w:val="left"/>
      <w:pPr>
        <w:tabs>
          <w:tab w:val="num" w:pos="5114"/>
        </w:tabs>
        <w:ind w:left="5114" w:hanging="360"/>
      </w:pPr>
      <w:rPr>
        <w:rFonts w:ascii="Wingdings" w:hAnsi="Wingdings" w:hint="default"/>
      </w:rPr>
    </w:lvl>
  </w:abstractNum>
  <w:abstractNum w:abstractNumId="6" w15:restartNumberingAfterBreak="0">
    <w:nsid w:val="340F6BFD"/>
    <w:multiLevelType w:val="multilevel"/>
    <w:tmpl w:val="CE2E3BFA"/>
    <w:styleLink w:val="40"/>
    <w:lvl w:ilvl="0">
      <w:start w:val="1"/>
      <w:numFmt w:val="decimal"/>
      <w:lvlText w:val="%1."/>
      <w:lvlJc w:val="left"/>
      <w:pPr>
        <w:tabs>
          <w:tab w:val="num" w:pos="360"/>
        </w:tabs>
        <w:ind w:left="360" w:hanging="360"/>
      </w:pPr>
      <w:rPr>
        <w:rFonts w:ascii="Times New Roman" w:hAnsi="Times New Roman" w:hint="default"/>
        <w:b/>
        <w:i w:val="0"/>
        <w:sz w:val="28"/>
        <w:szCs w:val="28"/>
      </w:rPr>
    </w:lvl>
    <w:lvl w:ilvl="1">
      <w:start w:val="1"/>
      <w:numFmt w:val="decimal"/>
      <w:lvlText w:val="%1.%2."/>
      <w:lvlJc w:val="left"/>
      <w:pPr>
        <w:tabs>
          <w:tab w:val="num" w:pos="5168"/>
        </w:tabs>
        <w:ind w:left="5168" w:hanging="578"/>
      </w:pPr>
      <w:rPr>
        <w:rFonts w:ascii="Times New Roman" w:hAnsi="Times New Roman" w:hint="default"/>
        <w:b/>
        <w:i w:val="0"/>
        <w:sz w:val="28"/>
        <w:szCs w:val="28"/>
      </w:rPr>
    </w:lvl>
    <w:lvl w:ilvl="2">
      <w:start w:val="1"/>
      <w:numFmt w:val="decimal"/>
      <w:lvlText w:val="%1.%2.%3."/>
      <w:lvlJc w:val="left"/>
      <w:pPr>
        <w:tabs>
          <w:tab w:val="num" w:pos="720"/>
        </w:tabs>
        <w:ind w:left="0" w:firstLine="0"/>
      </w:pPr>
      <w:rPr>
        <w:rFonts w:ascii="Times New Roman" w:hAnsi="Times New Roman" w:hint="default"/>
        <w:b/>
        <w:i w:val="0"/>
        <w:sz w:val="24"/>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15:restartNumberingAfterBreak="0">
    <w:nsid w:val="3BC07EF4"/>
    <w:multiLevelType w:val="multilevel"/>
    <w:tmpl w:val="682248C8"/>
    <w:lvl w:ilvl="0">
      <w:start w:val="1"/>
      <w:numFmt w:val="upperLetter"/>
      <w:pStyle w:val="ICRPannexheading1"/>
      <w:lvlText w:val="ANNEX %1."/>
      <w:lvlJc w:val="left"/>
      <w:pPr>
        <w:ind w:left="5671" w:firstLine="0"/>
      </w:pPr>
      <w:rPr>
        <w:rFonts w:ascii="Times New Roman" w:hAnsi="Times New Roman" w:hint="default"/>
        <w:b/>
        <w:bCs/>
        <w:i w:val="0"/>
        <w:iCs w:val="0"/>
        <w:caps/>
        <w:smallCaps w:val="0"/>
        <w:strike w:val="0"/>
        <w:dstrike w:val="0"/>
        <w:outline w:val="0"/>
        <w:shadow w:val="0"/>
        <w:emboss w:val="0"/>
        <w:imprint w:val="0"/>
        <w:vanish w:val="0"/>
        <w:color w:val="auto"/>
        <w:spacing w:val="0"/>
        <w:w w:val="100"/>
        <w:kern w:val="0"/>
        <w:position w:val="0"/>
        <w:sz w:val="28"/>
        <w:szCs w:val="28"/>
        <w:u w:val="none"/>
        <w:effect w:val="none"/>
        <w:bdr w:val="none" w:sz="0" w:space="0" w:color="auto"/>
        <w:shd w:val="clear" w:color="auto" w:fill="auto"/>
        <w:vertAlign w:val="baseline"/>
        <w:em w:val="none"/>
      </w:rPr>
    </w:lvl>
    <w:lvl w:ilvl="1">
      <w:start w:val="1"/>
      <w:numFmt w:val="decimal"/>
      <w:pStyle w:val="ICRPannexheading2"/>
      <w:lvlText w:val="%1.%2."/>
      <w:lvlJc w:val="left"/>
      <w:pPr>
        <w:ind w:left="860" w:hanging="576"/>
      </w:pPr>
      <w:rPr>
        <w:rFonts w:hint="eastAsia"/>
      </w:rPr>
    </w:lvl>
    <w:lvl w:ilvl="2">
      <w:start w:val="1"/>
      <w:numFmt w:val="decimal"/>
      <w:pStyle w:val="ICRPannexheading3"/>
      <w:lvlText w:val="%1.%2.%3."/>
      <w:lvlJc w:val="left"/>
      <w:pPr>
        <w:ind w:left="1146" w:hanging="720"/>
      </w:pPr>
      <w:rPr>
        <w:rFonts w:ascii="Times New Roman" w:hAnsi="Times New Roman" w:hint="default"/>
        <w:b/>
        <w:i w:val="0"/>
        <w:caps w:val="0"/>
        <w:strike w:val="0"/>
        <w:dstrike w:val="0"/>
        <w:vanish w:val="0"/>
        <w:color w:val="auto"/>
        <w:sz w:val="24"/>
        <w:vertAlign w:val="baseline"/>
      </w:rPr>
    </w:lvl>
    <w:lvl w:ilvl="3">
      <w:start w:val="1"/>
      <w:numFmt w:val="decimal"/>
      <w:lvlRestart w:val="1"/>
      <w:pStyle w:val="ICRPannexparagraph"/>
      <w:lvlText w:val="(%1 %4)"/>
      <w:lvlJc w:val="left"/>
      <w:pPr>
        <w:tabs>
          <w:tab w:val="num" w:pos="1004"/>
        </w:tabs>
        <w:ind w:left="-284" w:firstLine="284"/>
      </w:pPr>
      <w:rPr>
        <w:rFonts w:hint="eastAsia"/>
        <w:u w:val="none"/>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3E364D76"/>
    <w:multiLevelType w:val="multilevel"/>
    <w:tmpl w:val="CE2E3BFA"/>
    <w:styleLink w:val="20"/>
    <w:lvl w:ilvl="0">
      <w:start w:val="1"/>
      <w:numFmt w:val="decimal"/>
      <w:lvlText w:val="%1."/>
      <w:lvlJc w:val="left"/>
      <w:pPr>
        <w:tabs>
          <w:tab w:val="num" w:pos="360"/>
        </w:tabs>
        <w:ind w:left="360" w:hanging="360"/>
      </w:pPr>
      <w:rPr>
        <w:rFonts w:ascii="Times New Roman" w:hAnsi="Times New Roman" w:hint="default"/>
        <w:b/>
        <w:i w:val="0"/>
        <w:sz w:val="28"/>
        <w:szCs w:val="28"/>
      </w:rPr>
    </w:lvl>
    <w:lvl w:ilvl="1">
      <w:start w:val="1"/>
      <w:numFmt w:val="decimal"/>
      <w:lvlText w:val="%1.%2."/>
      <w:lvlJc w:val="left"/>
      <w:pPr>
        <w:tabs>
          <w:tab w:val="num" w:pos="5168"/>
        </w:tabs>
        <w:ind w:left="5168" w:hanging="578"/>
      </w:pPr>
      <w:rPr>
        <w:rFonts w:ascii="Times New Roman" w:hAnsi="Times New Roman" w:hint="default"/>
        <w:b/>
        <w:i w:val="0"/>
        <w:sz w:val="28"/>
        <w:szCs w:val="28"/>
      </w:rPr>
    </w:lvl>
    <w:lvl w:ilvl="2">
      <w:start w:val="1"/>
      <w:numFmt w:val="decimal"/>
      <w:lvlText w:val="%1.%2.%3."/>
      <w:lvlJc w:val="left"/>
      <w:pPr>
        <w:tabs>
          <w:tab w:val="num" w:pos="720"/>
        </w:tabs>
        <w:ind w:left="0" w:firstLine="0"/>
      </w:pPr>
      <w:rPr>
        <w:rFonts w:ascii="Times New Roman" w:hAnsi="Times New Roman" w:hint="default"/>
        <w:b/>
        <w:i w:val="0"/>
        <w:sz w:val="24"/>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47375B36"/>
    <w:multiLevelType w:val="hybridMultilevel"/>
    <w:tmpl w:val="E0B40A7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0" w15:restartNumberingAfterBreak="0">
    <w:nsid w:val="47816387"/>
    <w:multiLevelType w:val="hybridMultilevel"/>
    <w:tmpl w:val="E8803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0284AA3"/>
    <w:multiLevelType w:val="hybridMultilevel"/>
    <w:tmpl w:val="F5C05E7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515437AB"/>
    <w:multiLevelType w:val="hybridMultilevel"/>
    <w:tmpl w:val="007835D6"/>
    <w:lvl w:ilvl="0" w:tplc="A73A074E">
      <w:start w:val="1"/>
      <w:numFmt w:val="lowerLetter"/>
      <w:pStyle w:val="5"/>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3" w15:restartNumberingAfterBreak="0">
    <w:nsid w:val="56A66997"/>
    <w:multiLevelType w:val="multilevel"/>
    <w:tmpl w:val="83224F36"/>
    <w:lvl w:ilvl="0">
      <w:start w:val="1"/>
      <w:numFmt w:val="decimal"/>
      <w:pStyle w:val="AnnalshdgA"/>
      <w:lvlText w:val="%1."/>
      <w:lvlJc w:val="left"/>
      <w:pPr>
        <w:tabs>
          <w:tab w:val="num" w:pos="360"/>
        </w:tabs>
        <w:ind w:left="360" w:hanging="360"/>
      </w:pPr>
      <w:rPr>
        <w:rFonts w:ascii="Times New Roman" w:hAnsi="Times New Roman" w:hint="default"/>
        <w:b/>
        <w:bCs/>
        <w:i w:val="0"/>
        <w:iCs w:val="0"/>
        <w:caps/>
        <w:smallCaps w:val="0"/>
        <w:strike w:val="0"/>
        <w:dstrike w:val="0"/>
        <w:outline w:val="0"/>
        <w:shadow w:val="0"/>
        <w:emboss w:val="0"/>
        <w:imprint w:val="0"/>
        <w:color w:val="auto"/>
        <w:spacing w:val="0"/>
        <w:w w:val="100"/>
        <w:kern w:val="28"/>
        <w:position w:val="0"/>
        <w:sz w:val="28"/>
        <w:u w:val="none"/>
        <w:effect w:val="none"/>
        <w:bdr w:val="none" w:sz="0" w:space="0" w:color="auto"/>
        <w:shd w:val="clear" w:color="auto" w:fill="auto"/>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nnalshdgB"/>
      <w:lvlText w:val="%1.%2."/>
      <w:lvlJc w:val="left"/>
      <w:pPr>
        <w:tabs>
          <w:tab w:val="num" w:pos="578"/>
        </w:tabs>
        <w:ind w:left="578" w:hanging="578"/>
      </w:pPr>
      <w:rPr>
        <w:rFonts w:ascii="Times New Roman" w:hAnsi="Times New Roman" w:hint="default"/>
        <w:b/>
        <w:i w:val="0"/>
        <w:sz w:val="28"/>
        <w:szCs w:val="28"/>
      </w:rPr>
    </w:lvl>
    <w:lvl w:ilvl="2">
      <w:start w:val="1"/>
      <w:numFmt w:val="decimal"/>
      <w:pStyle w:val="AnnalshdgC"/>
      <w:lvlText w:val="%1.%2.%3."/>
      <w:lvlJc w:val="left"/>
      <w:pPr>
        <w:tabs>
          <w:tab w:val="num" w:pos="1004"/>
        </w:tabs>
        <w:ind w:left="284" w:firstLine="0"/>
      </w:pPr>
      <w:rPr>
        <w:rFonts w:ascii="Times New Roman" w:hAnsi="Times New Roman" w:hint="default"/>
        <w:b/>
        <w:i w:val="0"/>
        <w:sz w:val="24"/>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15:restartNumberingAfterBreak="0">
    <w:nsid w:val="5AF657E5"/>
    <w:multiLevelType w:val="hybridMultilevel"/>
    <w:tmpl w:val="F5C05E7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5EB04CDA"/>
    <w:multiLevelType w:val="multilevel"/>
    <w:tmpl w:val="5CB4E1E8"/>
    <w:lvl w:ilvl="0">
      <w:start w:val="1"/>
      <w:numFmt w:val="none"/>
      <w:lvlText w:val=""/>
      <w:lvlJc w:val="left"/>
      <w:pPr>
        <w:ind w:left="0" w:firstLine="0"/>
      </w:pPr>
      <w:rPr>
        <w:rFonts w:ascii="Times New Roman" w:hAnsi="Times New Roman" w:cs="Times New Roman" w:hint="eastAsia"/>
        <w:b/>
        <w:i w:val="0"/>
        <w:sz w:val="28"/>
        <w:szCs w:val="28"/>
      </w:rPr>
    </w:lvl>
    <w:lvl w:ilvl="1">
      <w:start w:val="1"/>
      <w:numFmt w:val="decimal"/>
      <w:lvlText w:val="%1.%2."/>
      <w:lvlJc w:val="left"/>
      <w:pPr>
        <w:ind w:left="578" w:hanging="578"/>
      </w:pPr>
      <w:rPr>
        <w:rFonts w:cs="Times New Roman" w:hint="eastAsia"/>
        <w:b/>
        <w:i w:val="0"/>
        <w:sz w:val="28"/>
        <w:szCs w:val="28"/>
      </w:rPr>
    </w:lvl>
    <w:lvl w:ilvl="2">
      <w:start w:val="1"/>
      <w:numFmt w:val="decimal"/>
      <w:lvlText w:val="%1.%2.%3."/>
      <w:lvlJc w:val="left"/>
      <w:pPr>
        <w:ind w:left="0" w:firstLine="0"/>
      </w:pPr>
      <w:rPr>
        <w:rFonts w:cs="Times New Roman" w:hint="eastAsia"/>
        <w:b/>
        <w:i w:val="0"/>
        <w:sz w:val="24"/>
      </w:rPr>
    </w:lvl>
    <w:lvl w:ilvl="3">
      <w:start w:val="1"/>
      <w:numFmt w:val="decimal"/>
      <w:suff w:val="space"/>
      <w:lvlText w:val="%1.%2.%3.%4."/>
      <w:lvlJc w:val="left"/>
      <w:pPr>
        <w:ind w:left="0" w:firstLine="0"/>
      </w:pPr>
      <w:rPr>
        <w:rFonts w:hint="eastAsia"/>
      </w:rPr>
    </w:lvl>
    <w:lvl w:ilvl="4">
      <w:start w:val="1"/>
      <w:numFmt w:val="decimal"/>
      <w:lvlText w:val="%1.%2.%3.%4.%5."/>
      <w:lvlJc w:val="left"/>
      <w:pPr>
        <w:ind w:left="2232" w:hanging="792"/>
      </w:pPr>
      <w:rPr>
        <w:rFonts w:hint="eastAsia"/>
      </w:rPr>
    </w:lvl>
    <w:lvl w:ilvl="5">
      <w:start w:val="1"/>
      <w:numFmt w:val="decimal"/>
      <w:lvlText w:val="%1.%2.%3.%4.%5.%6."/>
      <w:lvlJc w:val="left"/>
      <w:pPr>
        <w:ind w:left="2736" w:hanging="936"/>
      </w:pPr>
      <w:rPr>
        <w:rFonts w:hint="eastAsia"/>
      </w:rPr>
    </w:lvl>
    <w:lvl w:ilvl="6">
      <w:start w:val="1"/>
      <w:numFmt w:val="decimal"/>
      <w:lvlText w:val="%1.%2.%3.%4.%5.%6.%7."/>
      <w:lvlJc w:val="left"/>
      <w:pPr>
        <w:ind w:left="3240" w:hanging="1080"/>
      </w:pPr>
      <w:rPr>
        <w:rFonts w:hint="eastAsia"/>
      </w:rPr>
    </w:lvl>
    <w:lvl w:ilvl="7">
      <w:start w:val="1"/>
      <w:numFmt w:val="decimal"/>
      <w:lvlText w:val="%1.%2.%3.%4.%5.%6.%7.%8."/>
      <w:lvlJc w:val="left"/>
      <w:pPr>
        <w:ind w:left="3744" w:hanging="1224"/>
      </w:pPr>
      <w:rPr>
        <w:rFonts w:hint="eastAsia"/>
      </w:rPr>
    </w:lvl>
    <w:lvl w:ilvl="8">
      <w:start w:val="1"/>
      <w:numFmt w:val="decimal"/>
      <w:lvlText w:val="%1.%2.%3.%4.%5.%6.%7.%8.%9."/>
      <w:lvlJc w:val="left"/>
      <w:pPr>
        <w:ind w:left="4320" w:hanging="1440"/>
      </w:pPr>
      <w:rPr>
        <w:rFonts w:hint="eastAsia"/>
      </w:rPr>
    </w:lvl>
  </w:abstractNum>
  <w:abstractNum w:abstractNumId="16" w15:restartNumberingAfterBreak="0">
    <w:nsid w:val="5F0B6CA6"/>
    <w:multiLevelType w:val="hybridMultilevel"/>
    <w:tmpl w:val="980EFF60"/>
    <w:lvl w:ilvl="0" w:tplc="BB068B3A">
      <w:start w:val="1"/>
      <w:numFmt w:val="bullet"/>
      <w:lvlText w:val=""/>
      <w:lvlJc w:val="left"/>
      <w:pPr>
        <w:tabs>
          <w:tab w:val="num" w:pos="643"/>
        </w:tabs>
        <w:ind w:left="643" w:hanging="360"/>
      </w:pPr>
      <w:rPr>
        <w:rFonts w:ascii="Symbol" w:hAnsi="Symbol" w:hint="default"/>
        <w:sz w:val="24"/>
        <w:szCs w:val="24"/>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7" w15:restartNumberingAfterBreak="0">
    <w:nsid w:val="60887E2F"/>
    <w:multiLevelType w:val="multilevel"/>
    <w:tmpl w:val="78BE8A18"/>
    <w:lvl w:ilvl="0">
      <w:start w:val="1"/>
      <w:numFmt w:val="upperLetter"/>
      <w:lvlText w:val="APPENDIX %1."/>
      <w:lvlJc w:val="left"/>
      <w:pPr>
        <w:tabs>
          <w:tab w:val="num" w:pos="1800"/>
        </w:tabs>
        <w:ind w:left="0" w:firstLine="0"/>
      </w:pPr>
      <w:rPr>
        <w:rFonts w:ascii="Times New Roman" w:hAnsi="Times New Roman" w:hint="default"/>
        <w:b/>
        <w:bCs/>
        <w:i w:val="0"/>
        <w:iCs w:val="0"/>
        <w:caps/>
        <w:smallCaps w:val="0"/>
        <w:strike w:val="0"/>
        <w:dstrike w:val="0"/>
        <w:vanish w:val="0"/>
        <w:color w:val="auto"/>
        <w:spacing w:val="0"/>
        <w:w w:val="100"/>
        <w:kern w:val="28"/>
        <w:position w:val="0"/>
        <w:sz w:val="28"/>
        <w:u w:val="none"/>
        <w:effect w:val="none"/>
        <w:bdr w:val="none" w:sz="0" w:space="0" w:color="auto"/>
        <w:shd w:val="clear" w:color="auto" w:fill="auto"/>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6246"/>
        </w:tabs>
        <w:ind w:left="6246" w:hanging="576"/>
      </w:pPr>
      <w:rPr>
        <w:rFonts w:ascii="Times New Roman" w:hAnsi="Times New Roman" w:hint="default"/>
        <w:b/>
        <w:i w:val="0"/>
        <w:caps w:val="0"/>
        <w:strike w:val="0"/>
        <w:dstrike w:val="0"/>
        <w:vanish w:val="0"/>
        <w:color w:val="auto"/>
        <w:sz w:val="24"/>
        <w:vertAlign w:val="baseline"/>
      </w:rPr>
    </w:lvl>
    <w:lvl w:ilvl="2">
      <w:start w:val="1"/>
      <w:numFmt w:val="decimal"/>
      <w:lvlText w:val="%1.%2.%3."/>
      <w:lvlJc w:val="left"/>
      <w:pPr>
        <w:tabs>
          <w:tab w:val="num" w:pos="720"/>
        </w:tabs>
        <w:ind w:left="720" w:hanging="720"/>
      </w:pPr>
      <w:rPr>
        <w:rFonts w:ascii="Times New Roman" w:hAnsi="Times New Roman" w:hint="default"/>
        <w:b/>
        <w:i w:val="0"/>
        <w:caps w:val="0"/>
        <w:strike w:val="0"/>
        <w:dstrike w:val="0"/>
        <w:vanish w:val="0"/>
        <w:color w:val="auto"/>
        <w:sz w:val="24"/>
        <w:vertAlign w:val="baseline"/>
      </w:rPr>
    </w:lvl>
    <w:lvl w:ilvl="3">
      <w:start w:val="1"/>
      <w:numFmt w:val="decimal"/>
      <w:lvlRestart w:val="1"/>
      <w:lvlText w:val="(%1 %4)"/>
      <w:lvlJc w:val="left"/>
      <w:pPr>
        <w:tabs>
          <w:tab w:val="num" w:pos="1004"/>
        </w:tabs>
        <w:ind w:left="0" w:firstLine="284"/>
      </w:pPr>
      <w:rPr>
        <w:rFonts w:ascii="Times New Roman" w:hAnsi="Times New Roman" w:hint="default"/>
        <w:b w:val="0"/>
        <w:i w:val="0"/>
        <w:caps w:val="0"/>
        <w:strike w:val="0"/>
        <w:dstrike w:val="0"/>
        <w:vanish w:val="0"/>
        <w:color w:val="auto"/>
        <w:sz w:val="24"/>
        <w:vertAlign w:val="baseline"/>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7FE4683"/>
    <w:multiLevelType w:val="hybridMultilevel"/>
    <w:tmpl w:val="F5C05E7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69483724"/>
    <w:multiLevelType w:val="hybridMultilevel"/>
    <w:tmpl w:val="BC62A368"/>
    <w:lvl w:ilvl="0" w:tplc="FFFFFFFF">
      <w:start w:val="1"/>
      <w:numFmt w:val="decimal"/>
      <w:pStyle w:val="ICRPnumberedparagraph"/>
      <w:lvlText w:val="(%1)"/>
      <w:lvlJc w:val="left"/>
      <w:pPr>
        <w:tabs>
          <w:tab w:val="num" w:pos="2062"/>
        </w:tabs>
        <w:ind w:left="1418" w:firstLine="284"/>
      </w:pPr>
      <w:rPr>
        <w:rFonts w:ascii="Times New Roman" w:hAnsi="Times New Roman" w:hint="default"/>
        <w:b w:val="0"/>
        <w:i w:val="0"/>
        <w:caps w:val="0"/>
        <w:strike w:val="0"/>
        <w:dstrike w:val="0"/>
        <w:vanish w:val="0"/>
        <w:color w:val="auto"/>
        <w:sz w:val="24"/>
        <w:vertAlign w:val="baseline"/>
      </w:rPr>
    </w:lvl>
    <w:lvl w:ilvl="1" w:tplc="FFFFFFFF">
      <w:start w:val="1"/>
      <w:numFmt w:val="lowerRoman"/>
      <w:lvlText w:val="(%2)"/>
      <w:lvlJc w:val="left"/>
      <w:pPr>
        <w:tabs>
          <w:tab w:val="num" w:pos="1800"/>
        </w:tabs>
        <w:ind w:left="1800" w:hanging="720"/>
      </w:pPr>
      <w:rPr>
        <w:rFonts w:hint="default"/>
      </w:rPr>
    </w:lvl>
    <w:lvl w:ilvl="2" w:tplc="FFFFFFFF">
      <w:start w:val="1"/>
      <w:numFmt w:val="bullet"/>
      <w:lvlText w:val=""/>
      <w:lvlJc w:val="left"/>
      <w:pPr>
        <w:tabs>
          <w:tab w:val="num" w:pos="2340"/>
        </w:tabs>
        <w:ind w:left="2340" w:hanging="360"/>
      </w:pPr>
      <w:rPr>
        <w:rFonts w:ascii="Symbol" w:hAnsi="Symbol" w:hint="default"/>
      </w:rPr>
    </w:lvl>
    <w:lvl w:ilvl="3" w:tplc="B7224282">
      <w:start w:val="1"/>
      <w:numFmt w:val="lowerLetter"/>
      <w:lvlText w:val="(%4)"/>
      <w:lvlJc w:val="left"/>
      <w:pPr>
        <w:tabs>
          <w:tab w:val="num" w:pos="2880"/>
        </w:tabs>
        <w:ind w:left="2880" w:hanging="360"/>
      </w:pPr>
      <w:rPr>
        <w:rFonts w:hint="default"/>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15:restartNumberingAfterBreak="0">
    <w:nsid w:val="6F253FED"/>
    <w:multiLevelType w:val="multilevel"/>
    <w:tmpl w:val="CE2E3BFA"/>
    <w:styleLink w:val="30"/>
    <w:lvl w:ilvl="0">
      <w:start w:val="1"/>
      <w:numFmt w:val="decimal"/>
      <w:lvlText w:val="%1."/>
      <w:lvlJc w:val="left"/>
      <w:pPr>
        <w:tabs>
          <w:tab w:val="num" w:pos="360"/>
        </w:tabs>
        <w:ind w:left="360" w:hanging="360"/>
      </w:pPr>
      <w:rPr>
        <w:rFonts w:ascii="Times New Roman" w:hAnsi="Times New Roman" w:hint="default"/>
        <w:b/>
        <w:i w:val="0"/>
        <w:sz w:val="28"/>
        <w:szCs w:val="28"/>
      </w:rPr>
    </w:lvl>
    <w:lvl w:ilvl="1">
      <w:start w:val="1"/>
      <w:numFmt w:val="decimal"/>
      <w:lvlText w:val="%1.%2."/>
      <w:lvlJc w:val="left"/>
      <w:pPr>
        <w:tabs>
          <w:tab w:val="num" w:pos="5168"/>
        </w:tabs>
        <w:ind w:left="5168" w:hanging="578"/>
      </w:pPr>
      <w:rPr>
        <w:rFonts w:ascii="Times New Roman" w:hAnsi="Times New Roman" w:hint="default"/>
        <w:b/>
        <w:i w:val="0"/>
        <w:sz w:val="28"/>
        <w:szCs w:val="28"/>
      </w:rPr>
    </w:lvl>
    <w:lvl w:ilvl="2">
      <w:start w:val="1"/>
      <w:numFmt w:val="decimal"/>
      <w:lvlText w:val="%1.%2.%3."/>
      <w:lvlJc w:val="left"/>
      <w:pPr>
        <w:tabs>
          <w:tab w:val="num" w:pos="720"/>
        </w:tabs>
        <w:ind w:left="0" w:firstLine="0"/>
      </w:pPr>
      <w:rPr>
        <w:rFonts w:ascii="Times New Roman" w:hAnsi="Times New Roman" w:hint="default"/>
        <w:b/>
        <w:i w:val="0"/>
        <w:sz w:val="24"/>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15:restartNumberingAfterBreak="0">
    <w:nsid w:val="7E8D3061"/>
    <w:multiLevelType w:val="hybridMultilevel"/>
    <w:tmpl w:val="577A7086"/>
    <w:lvl w:ilvl="0" w:tplc="04090001">
      <w:start w:val="1"/>
      <w:numFmt w:val="bullet"/>
      <w:lvlText w:val=""/>
      <w:lvlJc w:val="left"/>
      <w:pPr>
        <w:tabs>
          <w:tab w:val="num" w:pos="644"/>
        </w:tabs>
        <w:ind w:left="0" w:firstLine="284"/>
      </w:pPr>
      <w:rPr>
        <w:rFonts w:ascii="Symbol" w:hAnsi="Symbol" w:hint="default"/>
      </w:rPr>
    </w:lvl>
    <w:lvl w:ilvl="1" w:tplc="FFFFFFFF">
      <w:start w:val="1"/>
      <w:numFmt w:val="lowerRoman"/>
      <w:lvlText w:val="(%2)"/>
      <w:lvlJc w:val="left"/>
      <w:pPr>
        <w:tabs>
          <w:tab w:val="num" w:pos="1800"/>
        </w:tabs>
        <w:ind w:left="1800" w:hanging="720"/>
      </w:pPr>
      <w:rPr>
        <w:rFonts w:hint="default"/>
      </w:rPr>
    </w:lvl>
    <w:lvl w:ilvl="2" w:tplc="FFFFFFFF">
      <w:start w:val="1"/>
      <w:numFmt w:val="bullet"/>
      <w:lvlText w:val=""/>
      <w:lvlJc w:val="left"/>
      <w:pPr>
        <w:tabs>
          <w:tab w:val="num" w:pos="2340"/>
        </w:tabs>
        <w:ind w:left="2340" w:hanging="360"/>
      </w:pPr>
      <w:rPr>
        <w:rFonts w:ascii="Symbol" w:hAnsi="Symbol" w:hint="default"/>
      </w:rPr>
    </w:lvl>
    <w:lvl w:ilvl="3" w:tplc="B7224282">
      <w:start w:val="1"/>
      <w:numFmt w:val="lowerLetter"/>
      <w:lvlText w:val="(%4)"/>
      <w:lvlJc w:val="left"/>
      <w:pPr>
        <w:tabs>
          <w:tab w:val="num" w:pos="2880"/>
        </w:tabs>
        <w:ind w:left="2880" w:hanging="360"/>
      </w:pPr>
      <w:rPr>
        <w:rFonts w:hint="default"/>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16cid:durableId="1611157276">
    <w:abstractNumId w:val="19"/>
  </w:num>
  <w:num w:numId="2" w16cid:durableId="1263688885">
    <w:abstractNumId w:val="7"/>
  </w:num>
  <w:num w:numId="3" w16cid:durableId="825167674">
    <w:abstractNumId w:val="4"/>
  </w:num>
  <w:num w:numId="4" w16cid:durableId="1426880012">
    <w:abstractNumId w:val="8"/>
  </w:num>
  <w:num w:numId="5" w16cid:durableId="1484851740">
    <w:abstractNumId w:val="20"/>
  </w:num>
  <w:num w:numId="6" w16cid:durableId="447314895">
    <w:abstractNumId w:val="6"/>
  </w:num>
  <w:num w:numId="7" w16cid:durableId="661545088">
    <w:abstractNumId w:val="2"/>
  </w:num>
  <w:num w:numId="8" w16cid:durableId="1618294939">
    <w:abstractNumId w:val="12"/>
  </w:num>
  <w:num w:numId="9" w16cid:durableId="2045713303">
    <w:abstractNumId w:val="1"/>
  </w:num>
  <w:num w:numId="10" w16cid:durableId="383718750">
    <w:abstractNumId w:val="13"/>
  </w:num>
  <w:num w:numId="11" w16cid:durableId="594703939">
    <w:abstractNumId w:val="10"/>
  </w:num>
  <w:num w:numId="12" w16cid:durableId="2054192864">
    <w:abstractNumId w:val="21"/>
  </w:num>
  <w:num w:numId="13" w16cid:durableId="1433696393">
    <w:abstractNumId w:val="9"/>
  </w:num>
  <w:num w:numId="14" w16cid:durableId="1378507647">
    <w:abstractNumId w:val="16"/>
  </w:num>
  <w:num w:numId="15" w16cid:durableId="1260137433">
    <w:abstractNumId w:val="11"/>
  </w:num>
  <w:num w:numId="16" w16cid:durableId="369691344">
    <w:abstractNumId w:val="18"/>
  </w:num>
  <w:num w:numId="17" w16cid:durableId="1098451858">
    <w:abstractNumId w:val="14"/>
  </w:num>
  <w:num w:numId="18" w16cid:durableId="561644693">
    <w:abstractNumId w:val="19"/>
    <w:lvlOverride w:ilvl="0">
      <w:startOverride w:val="1"/>
    </w:lvlOverride>
  </w:num>
  <w:num w:numId="19" w16cid:durableId="1912040860">
    <w:abstractNumId w:val="19"/>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024553332">
    <w:abstractNumId w:val="19"/>
    <w:lvlOverride w:ilvl="0">
      <w:startOverride w:val="1"/>
    </w:lvlOverride>
  </w:num>
  <w:num w:numId="21" w16cid:durableId="29958018">
    <w:abstractNumId w:val="19"/>
    <w:lvlOverride w:ilvl="0">
      <w:startOverride w:val="1"/>
    </w:lvlOverride>
  </w:num>
  <w:num w:numId="22" w16cid:durableId="570623618">
    <w:abstractNumId w:val="19"/>
    <w:lvlOverride w:ilvl="0">
      <w:startOverride w:val="1"/>
    </w:lvlOverride>
  </w:num>
  <w:num w:numId="23" w16cid:durableId="545723405">
    <w:abstractNumId w:val="17"/>
  </w:num>
  <w:num w:numId="24" w16cid:durableId="1561670376">
    <w:abstractNumId w:val="5"/>
  </w:num>
  <w:num w:numId="25" w16cid:durableId="6142112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71965141">
    <w:abstractNumId w:val="3"/>
  </w:num>
  <w:num w:numId="27" w16cid:durableId="529073530">
    <w:abstractNumId w:val="15"/>
  </w:num>
  <w:num w:numId="28" w16cid:durableId="552079359">
    <w:abstractNumId w:val="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intFractionalCharacterWidth/>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145">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ICRP Publication&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ss5s0wzrpx9pwe5a0h5a9wkx9sf2zexde9d&quot;&gt;Literatur_AMSD-Converted&lt;record-ids&gt;&lt;item&gt;1761&lt;/item&gt;&lt;item&gt;1866&lt;/item&gt;&lt;item&gt;1871&lt;/item&gt;&lt;item&gt;1880&lt;/item&gt;&lt;item&gt;2105&lt;/item&gt;&lt;item&gt;2176&lt;/item&gt;&lt;item&gt;2184&lt;/item&gt;&lt;item&gt;2185&lt;/item&gt;&lt;item&gt;2204&lt;/item&gt;&lt;item&gt;2319&lt;/item&gt;&lt;item&gt;2580&lt;/item&gt;&lt;item&gt;2763&lt;/item&gt;&lt;item&gt;2900&lt;/item&gt;&lt;item&gt;2906&lt;/item&gt;&lt;item&gt;2935&lt;/item&gt;&lt;item&gt;2936&lt;/item&gt;&lt;item&gt;2938&lt;/item&gt;&lt;item&gt;2945&lt;/item&gt;&lt;item&gt;2961&lt;/item&gt;&lt;item&gt;2983&lt;/item&gt;&lt;item&gt;2986&lt;/item&gt;&lt;item&gt;2994&lt;/item&gt;&lt;item&gt;3011&lt;/item&gt;&lt;item&gt;3012&lt;/item&gt;&lt;item&gt;3013&lt;/item&gt;&lt;item&gt;3014&lt;/item&gt;&lt;item&gt;3016&lt;/item&gt;&lt;item&gt;3052&lt;/item&gt;&lt;item&gt;3064&lt;/item&gt;&lt;item&gt;3068&lt;/item&gt;&lt;item&gt;3289&lt;/item&gt;&lt;item&gt;3299&lt;/item&gt;&lt;item&gt;3466&lt;/item&gt;&lt;item&gt;3485&lt;/item&gt;&lt;item&gt;4050&lt;/item&gt;&lt;item&gt;4981&lt;/item&gt;&lt;item&gt;5321&lt;/item&gt;&lt;item&gt;5332&lt;/item&gt;&lt;item&gt;5557&lt;/item&gt;&lt;item&gt;5742&lt;/item&gt;&lt;item&gt;6137&lt;/item&gt;&lt;item&gt;6138&lt;/item&gt;&lt;item&gt;6141&lt;/item&gt;&lt;item&gt;6598&lt;/item&gt;&lt;item&gt;6607&lt;/item&gt;&lt;item&gt;8931&lt;/item&gt;&lt;item&gt;8932&lt;/item&gt;&lt;item&gt;8965&lt;/item&gt;&lt;item&gt;9067&lt;/item&gt;&lt;item&gt;9087&lt;/item&gt;&lt;item&gt;9246&lt;/item&gt;&lt;item&gt;9411&lt;/item&gt;&lt;item&gt;10296&lt;/item&gt;&lt;item&gt;10496&lt;/item&gt;&lt;item&gt;10497&lt;/item&gt;&lt;item&gt;10498&lt;/item&gt;&lt;item&gt;10499&lt;/item&gt;&lt;item&gt;10500&lt;/item&gt;&lt;item&gt;10563&lt;/item&gt;&lt;item&gt;10564&lt;/item&gt;&lt;item&gt;10616&lt;/item&gt;&lt;item&gt;10648&lt;/item&gt;&lt;item&gt;11771&lt;/item&gt;&lt;item&gt;11772&lt;/item&gt;&lt;item&gt;11781&lt;/item&gt;&lt;item&gt;11786&lt;/item&gt;&lt;item&gt;11788&lt;/item&gt;&lt;item&gt;11795&lt;/item&gt;&lt;item&gt;11807&lt;/item&gt;&lt;item&gt;11812&lt;/item&gt;&lt;item&gt;11815&lt;/item&gt;&lt;item&gt;11819&lt;/item&gt;&lt;item&gt;11821&lt;/item&gt;&lt;item&gt;11822&lt;/item&gt;&lt;item&gt;11892&lt;/item&gt;&lt;item&gt;11907&lt;/item&gt;&lt;item&gt;11929&lt;/item&gt;&lt;item&gt;11934&lt;/item&gt;&lt;item&gt;12156&lt;/item&gt;&lt;item&gt;12163&lt;/item&gt;&lt;item&gt;12270&lt;/item&gt;&lt;item&gt;12457&lt;/item&gt;&lt;item&gt;12458&lt;/item&gt;&lt;item&gt;12459&lt;/item&gt;&lt;item&gt;12465&lt;/item&gt;&lt;item&gt;12467&lt;/item&gt;&lt;item&gt;12469&lt;/item&gt;&lt;item&gt;12470&lt;/item&gt;&lt;item&gt;12471&lt;/item&gt;&lt;item&gt;12474&lt;/item&gt;&lt;item&gt;12477&lt;/item&gt;&lt;item&gt;12478&lt;/item&gt;&lt;item&gt;12479&lt;/item&gt;&lt;item&gt;12480&lt;/item&gt;&lt;item&gt;12482&lt;/item&gt;&lt;item&gt;12486&lt;/item&gt;&lt;item&gt;12487&lt;/item&gt;&lt;item&gt;12488&lt;/item&gt;&lt;item&gt;12491&lt;/item&gt;&lt;item&gt;12492&lt;/item&gt;&lt;item&gt;12494&lt;/item&gt;&lt;item&gt;12495&lt;/item&gt;&lt;item&gt;12496&lt;/item&gt;&lt;item&gt;12498&lt;/item&gt;&lt;item&gt;12499&lt;/item&gt;&lt;item&gt;12501&lt;/item&gt;&lt;item&gt;12503&lt;/item&gt;&lt;item&gt;12509&lt;/item&gt;&lt;item&gt;12511&lt;/item&gt;&lt;/record-ids&gt;&lt;/item&gt;&lt;/Libraries&gt;"/>
  </w:docVars>
  <w:rsids>
    <w:rsidRoot w:val="00E72CA9"/>
    <w:rsid w:val="00415205"/>
    <w:rsid w:val="009D0B4B"/>
    <w:rsid w:val="00AD0DD0"/>
    <w:rsid w:val="00BD7496"/>
    <w:rsid w:val="00D516E3"/>
    <w:rsid w:val="00E72CA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v:textbox inset="5.85pt,.7pt,5.85pt,.7pt"/>
    </o:shapedefaults>
    <o:shapelayout v:ext="edit">
      <o:idmap v:ext="edit" data="1"/>
    </o:shapelayout>
  </w:shapeDefaults>
  <w:decimalSymbol w:val="."/>
  <w:listSeparator w:val=","/>
  <w14:docId w14:val="5ABB7004"/>
  <w15:chartTrackingRefBased/>
  <w15:docId w15:val="{2853AFE1-1B5C-4318-BBFC-7D152ABFE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ＭＳ 明朝" w:hAnsi="Times New Roman" w:cs="Times New Roman"/>
        <w:sz w:val="24"/>
        <w:szCs w:val="22"/>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toc 1" w:uiPriority="39"/>
    <w:lsdException w:name="toc 2" w:uiPriority="39"/>
    <w:lsdException w:name="toc 3" w:uiPriority="39"/>
    <w:lsdException w:name="annotation text" w:uiPriority="99"/>
    <w:lsdException w:name="caption" w:semiHidden="1" w:unhideWhenUsed="1" w:qFormat="1"/>
    <w:lsdException w:name="footnote reference" w:uiPriority="99"/>
    <w:lsdException w:name="annotation reference" w:uiPriority="99"/>
    <w:lsdException w:name="Title" w:uiPriority="10" w:qFormat="1"/>
    <w:lsdException w:name="Hyperlink" w:uiPriority="99"/>
    <w:lsdException w:name="Strong" w:uiPriority="22" w:qFormat="1"/>
    <w:lsdException w:name="Emphasis" w:uiPriority="20"/>
    <w:lsdException w:name="Plain Text" w:uiPriority="99"/>
    <w:lsdException w:name="Normal (Web)" w:uiPriority="99"/>
    <w:lsdException w:name="HTML Cite"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aliases w:val="Normal (don't use)"/>
  </w:style>
  <w:style w:type="paragraph" w:styleId="1">
    <w:name w:val="heading 1"/>
    <w:basedOn w:val="a0"/>
    <w:next w:val="a0"/>
    <w:link w:val="11"/>
    <w:qFormat/>
    <w:pPr>
      <w:numPr>
        <w:numId w:val="7"/>
      </w:numPr>
      <w:spacing w:before="240" w:after="240"/>
      <w:jc w:val="center"/>
      <w:outlineLvl w:val="0"/>
    </w:pPr>
    <w:rPr>
      <w:b/>
      <w:caps/>
      <w:sz w:val="28"/>
    </w:rPr>
  </w:style>
  <w:style w:type="paragraph" w:styleId="2">
    <w:name w:val="heading 2"/>
    <w:basedOn w:val="a0"/>
    <w:next w:val="a0"/>
    <w:qFormat/>
    <w:pPr>
      <w:numPr>
        <w:ilvl w:val="1"/>
        <w:numId w:val="7"/>
      </w:numPr>
      <w:tabs>
        <w:tab w:val="left" w:pos="851"/>
      </w:tabs>
      <w:spacing w:before="480" w:after="240"/>
      <w:ind w:left="578"/>
      <w:outlineLvl w:val="1"/>
    </w:pPr>
    <w:rPr>
      <w:b/>
      <w:sz w:val="28"/>
    </w:rPr>
  </w:style>
  <w:style w:type="paragraph" w:styleId="3">
    <w:name w:val="heading 3"/>
    <w:basedOn w:val="a0"/>
    <w:next w:val="a0"/>
    <w:qFormat/>
    <w:pPr>
      <w:numPr>
        <w:ilvl w:val="2"/>
        <w:numId w:val="7"/>
      </w:numPr>
      <w:tabs>
        <w:tab w:val="clear" w:pos="720"/>
        <w:tab w:val="left" w:pos="851"/>
      </w:tabs>
      <w:spacing w:before="240" w:after="240"/>
      <w:outlineLvl w:val="2"/>
    </w:pPr>
    <w:rPr>
      <w:b/>
      <w:lang w:eastAsia="ja-JP"/>
    </w:rPr>
  </w:style>
  <w:style w:type="paragraph" w:styleId="4">
    <w:name w:val="heading 4"/>
    <w:basedOn w:val="a0"/>
    <w:next w:val="a0"/>
    <w:qFormat/>
    <w:pPr>
      <w:numPr>
        <w:ilvl w:val="3"/>
        <w:numId w:val="7"/>
      </w:numPr>
      <w:tabs>
        <w:tab w:val="clear" w:pos="1800"/>
        <w:tab w:val="left" w:pos="851"/>
      </w:tabs>
      <w:spacing w:before="240" w:after="240"/>
      <w:ind w:left="0" w:firstLine="0"/>
      <w:outlineLvl w:val="3"/>
    </w:pPr>
  </w:style>
  <w:style w:type="paragraph" w:styleId="5">
    <w:name w:val="heading 5"/>
    <w:basedOn w:val="a0"/>
    <w:next w:val="a0"/>
    <w:qFormat/>
    <w:pPr>
      <w:numPr>
        <w:numId w:val="8"/>
      </w:numPr>
      <w:tabs>
        <w:tab w:val="left" w:pos="425"/>
      </w:tabs>
      <w:spacing w:before="240" w:after="240"/>
      <w:ind w:left="0" w:firstLine="0"/>
      <w:outlineLvl w:val="4"/>
    </w:pPr>
    <w:rPr>
      <w:bCs/>
      <w:i/>
      <w:iCs/>
    </w:rPr>
  </w:style>
  <w:style w:type="paragraph" w:styleId="6">
    <w:name w:val="heading 6"/>
    <w:basedOn w:val="a0"/>
    <w:next w:val="a0"/>
    <w:pPr>
      <w:tabs>
        <w:tab w:val="left" w:pos="425"/>
      </w:tabs>
      <w:spacing w:before="240" w:after="240"/>
      <w:outlineLvl w:val="5"/>
    </w:pPr>
    <w:rPr>
      <w:bCs/>
      <w:i/>
      <w:iCs/>
    </w:rPr>
  </w:style>
  <w:style w:type="paragraph" w:styleId="7">
    <w:name w:val="heading 7"/>
    <w:basedOn w:val="6"/>
    <w:next w:val="a0"/>
    <w:pPr>
      <w:outlineLvl w:val="6"/>
    </w:pPr>
  </w:style>
  <w:style w:type="paragraph" w:styleId="8">
    <w:name w:val="heading 8"/>
    <w:basedOn w:val="7"/>
    <w:next w:val="a0"/>
    <w:pPr>
      <w:outlineLvl w:val="7"/>
    </w:pPr>
  </w:style>
  <w:style w:type="paragraph" w:styleId="9">
    <w:name w:val="heading 9"/>
    <w:basedOn w:val="8"/>
    <w:next w:val="a0"/>
    <w:p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Revision"/>
    <w:hidden/>
    <w:uiPriority w:val="99"/>
    <w:semiHidden/>
    <w:rPr>
      <w:rFonts w:eastAsia="Times New Roman"/>
      <w:szCs w:val="24"/>
      <w:lang w:val="en-US" w:eastAsia="en-US"/>
    </w:rPr>
  </w:style>
  <w:style w:type="character" w:styleId="a5">
    <w:name w:val="Hyperlink"/>
    <w:uiPriority w:val="99"/>
    <w:rPr>
      <w:color w:val="0563C1"/>
      <w:u w:val="single"/>
    </w:rPr>
  </w:style>
  <w:style w:type="character" w:customStyle="1" w:styleId="NichtaufgelsteErwhnung1">
    <w:name w:val="Nicht aufgelöste Erwähnung1"/>
    <w:semiHidden/>
    <w:unhideWhenUsed/>
    <w:rPr>
      <w:color w:val="605E5C"/>
      <w:shd w:val="clear" w:color="auto" w:fill="E1DFDD"/>
    </w:rPr>
  </w:style>
  <w:style w:type="paragraph" w:customStyle="1" w:styleId="ICRPnumberedparagraph">
    <w:name w:val="ICRP numbered paragraph"/>
    <w:basedOn w:val="ICRPbasic"/>
    <w:link w:val="ICRPnumberedparagraphChar"/>
    <w:qFormat/>
    <w:pPr>
      <w:numPr>
        <w:numId w:val="1"/>
      </w:numPr>
      <w:tabs>
        <w:tab w:val="left" w:pos="851"/>
        <w:tab w:val="num" w:pos="5322"/>
      </w:tabs>
      <w:spacing w:before="0" w:after="0"/>
    </w:pPr>
    <w:rPr>
      <w:rFonts w:eastAsia="ＭＳ 明朝"/>
      <w:szCs w:val="22"/>
      <w:lang w:eastAsia="ja-JP"/>
    </w:rPr>
  </w:style>
  <w:style w:type="character" w:customStyle="1" w:styleId="ICRPnumberedparagraphChar">
    <w:name w:val="ICRP numbered paragraph Char"/>
    <w:link w:val="ICRPnumberedparagraph"/>
    <w:rPr>
      <w:sz w:val="24"/>
      <w:szCs w:val="22"/>
      <w:lang w:eastAsia="ja-JP"/>
    </w:rPr>
  </w:style>
  <w:style w:type="paragraph" w:customStyle="1" w:styleId="ICRPmainpoints">
    <w:name w:val="ICRP main points"/>
    <w:basedOn w:val="ICRPbasicbulletlist"/>
    <w:link w:val="ICRPmainpointsChar"/>
    <w:qFormat/>
    <w:pPr>
      <w:spacing w:before="360" w:after="360"/>
    </w:pPr>
    <w:rPr>
      <w:b/>
      <w:bCs/>
    </w:rPr>
  </w:style>
  <w:style w:type="paragraph" w:customStyle="1" w:styleId="ICRPannexparagraph">
    <w:name w:val="ICRP annex paragraph"/>
    <w:basedOn w:val="a0"/>
    <w:qFormat/>
    <w:pPr>
      <w:numPr>
        <w:ilvl w:val="3"/>
        <w:numId w:val="2"/>
      </w:numPr>
      <w:tabs>
        <w:tab w:val="left" w:pos="646"/>
      </w:tabs>
      <w:jc w:val="both"/>
    </w:pPr>
    <w:rPr>
      <w:lang w:eastAsia="ja-JP"/>
    </w:rPr>
  </w:style>
  <w:style w:type="paragraph" w:styleId="31">
    <w:name w:val="toc 3"/>
    <w:basedOn w:val="a0"/>
    <w:next w:val="a0"/>
    <w:autoRedefine/>
    <w:uiPriority w:val="39"/>
    <w:pPr>
      <w:ind w:left="480"/>
    </w:pPr>
    <w:rPr>
      <w:rFonts w:cstheme="minorHAnsi"/>
      <w:sz w:val="20"/>
      <w:szCs w:val="20"/>
    </w:rPr>
  </w:style>
  <w:style w:type="paragraph" w:customStyle="1" w:styleId="ICRPannexheading1">
    <w:name w:val="ICRP annex heading 1"/>
    <w:basedOn w:val="a0"/>
    <w:next w:val="ICRPbasic"/>
    <w:qFormat/>
    <w:pPr>
      <w:numPr>
        <w:numId w:val="2"/>
      </w:numPr>
      <w:spacing w:before="240" w:after="240"/>
      <w:ind w:left="0"/>
      <w:jc w:val="center"/>
    </w:pPr>
    <w:rPr>
      <w:b/>
      <w:caps/>
      <w:sz w:val="28"/>
    </w:rPr>
  </w:style>
  <w:style w:type="character" w:customStyle="1" w:styleId="ICRPmainpointsChar">
    <w:name w:val="ICRP main points Char"/>
    <w:link w:val="ICRPmainpoints"/>
    <w:rPr>
      <w:rFonts w:eastAsia="Times New Roman"/>
      <w:b/>
      <w:bCs/>
      <w:sz w:val="24"/>
      <w:szCs w:val="24"/>
      <w:lang w:eastAsia="en-US"/>
    </w:rPr>
  </w:style>
  <w:style w:type="paragraph" w:customStyle="1" w:styleId="ICRPannexheading2">
    <w:name w:val="ICRP annex heading 2"/>
    <w:basedOn w:val="a0"/>
    <w:qFormat/>
    <w:pPr>
      <w:numPr>
        <w:ilvl w:val="1"/>
        <w:numId w:val="2"/>
      </w:numPr>
      <w:tabs>
        <w:tab w:val="left" w:pos="851"/>
      </w:tabs>
      <w:spacing w:before="480" w:after="240"/>
    </w:pPr>
    <w:rPr>
      <w:b/>
      <w:sz w:val="28"/>
    </w:rPr>
  </w:style>
  <w:style w:type="paragraph" w:customStyle="1" w:styleId="ICRPannexheading3">
    <w:name w:val="ICRP annex heading 3"/>
    <w:basedOn w:val="a0"/>
    <w:qFormat/>
    <w:pPr>
      <w:numPr>
        <w:ilvl w:val="2"/>
        <w:numId w:val="2"/>
      </w:numPr>
      <w:tabs>
        <w:tab w:val="left" w:pos="851"/>
      </w:tabs>
      <w:spacing w:before="240" w:after="240"/>
    </w:pPr>
    <w:rPr>
      <w:b/>
      <w:lang w:eastAsia="ja-JP"/>
    </w:rPr>
  </w:style>
  <w:style w:type="character" w:customStyle="1" w:styleId="TextedebullesCar">
    <w:name w:val="Texte de bulles Car"/>
    <w:uiPriority w:val="99"/>
    <w:semiHidden/>
    <w:rPr>
      <w:rFonts w:ascii="Lucida Grande" w:hAnsi="Lucida Grande"/>
      <w:sz w:val="18"/>
      <w:szCs w:val="18"/>
    </w:rPr>
  </w:style>
  <w:style w:type="character" w:styleId="a6">
    <w:name w:val="Placeholder Text"/>
    <w:uiPriority w:val="99"/>
    <w:semiHidden/>
    <w:rPr>
      <w:color w:val="808080"/>
    </w:rPr>
  </w:style>
  <w:style w:type="paragraph" w:styleId="a7">
    <w:name w:val="List Paragraph"/>
    <w:aliases w:val="List Paragraph (don't use)"/>
    <w:basedOn w:val="a0"/>
    <w:uiPriority w:val="34"/>
    <w:qFormat/>
    <w:pPr>
      <w:ind w:left="720"/>
    </w:pPr>
    <w:rPr>
      <w:rFonts w:ascii="Calibri" w:eastAsia="PMingLiU" w:hAnsi="Calibri"/>
      <w:snapToGrid w:val="0"/>
      <w:sz w:val="22"/>
      <w:lang w:val="en-CA"/>
    </w:rPr>
  </w:style>
  <w:style w:type="table" w:styleId="a8">
    <w:name w:val="Table Grid"/>
    <w:basedOn w:val="a2"/>
    <w:uiPriority w:val="39"/>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ibliography"/>
    <w:basedOn w:val="a0"/>
    <w:next w:val="a0"/>
    <w:uiPriority w:val="37"/>
    <w:semiHidden/>
    <w:unhideWhenUsed/>
  </w:style>
  <w:style w:type="character" w:customStyle="1" w:styleId="12">
    <w:name w:val="未解決のメンション1"/>
    <w:uiPriority w:val="99"/>
    <w:semiHidden/>
    <w:unhideWhenUsed/>
    <w:rPr>
      <w:color w:val="605E5C"/>
      <w:shd w:val="clear" w:color="auto" w:fill="E1DFDD"/>
    </w:rPr>
  </w:style>
  <w:style w:type="paragraph" w:styleId="13">
    <w:name w:val="toc 1"/>
    <w:aliases w:val="TOC 1 (don't use)"/>
    <w:basedOn w:val="a0"/>
    <w:next w:val="a0"/>
    <w:autoRedefine/>
    <w:uiPriority w:val="39"/>
    <w:pPr>
      <w:tabs>
        <w:tab w:val="left" w:pos="284"/>
        <w:tab w:val="left" w:pos="1276"/>
        <w:tab w:val="right" w:leader="dot" w:pos="9016"/>
      </w:tabs>
      <w:spacing w:line="360" w:lineRule="auto"/>
    </w:pPr>
    <w:rPr>
      <w:rFonts w:eastAsia="Times New Roman" w:cstheme="minorHAnsi"/>
      <w:bCs/>
      <w:iCs/>
      <w:caps/>
      <w:noProof/>
      <w:sz w:val="22"/>
    </w:rPr>
  </w:style>
  <w:style w:type="paragraph" w:styleId="21">
    <w:name w:val="toc 2"/>
    <w:aliases w:val="TOC 2 (don't use)"/>
    <w:basedOn w:val="a0"/>
    <w:next w:val="a0"/>
    <w:autoRedefine/>
    <w:uiPriority w:val="39"/>
    <w:pPr>
      <w:tabs>
        <w:tab w:val="left" w:pos="709"/>
        <w:tab w:val="right" w:leader="dot" w:pos="9016"/>
      </w:tabs>
      <w:spacing w:line="360" w:lineRule="auto"/>
      <w:ind w:left="709" w:hanging="471"/>
    </w:pPr>
    <w:rPr>
      <w:rFonts w:cstheme="minorHAnsi"/>
      <w:bCs/>
      <w:sz w:val="22"/>
    </w:rPr>
  </w:style>
  <w:style w:type="numbering" w:customStyle="1" w:styleId="10">
    <w:name w:val="現在のリスト1"/>
    <w:uiPriority w:val="99"/>
    <w:pPr>
      <w:numPr>
        <w:numId w:val="3"/>
      </w:numPr>
    </w:pPr>
  </w:style>
  <w:style w:type="numbering" w:customStyle="1" w:styleId="20">
    <w:name w:val="現在のリスト2"/>
    <w:uiPriority w:val="99"/>
    <w:pPr>
      <w:numPr>
        <w:numId w:val="4"/>
      </w:numPr>
    </w:pPr>
  </w:style>
  <w:style w:type="numbering" w:customStyle="1" w:styleId="30">
    <w:name w:val="現在のリスト3"/>
    <w:uiPriority w:val="99"/>
    <w:pPr>
      <w:numPr>
        <w:numId w:val="5"/>
      </w:numPr>
    </w:pPr>
  </w:style>
  <w:style w:type="numbering" w:customStyle="1" w:styleId="40">
    <w:name w:val="現在のリスト4"/>
    <w:uiPriority w:val="99"/>
    <w:pPr>
      <w:numPr>
        <w:numId w:val="6"/>
      </w:numPr>
    </w:pPr>
  </w:style>
  <w:style w:type="paragraph" w:customStyle="1" w:styleId="ICRPeditorialauthors">
    <w:name w:val="ICRP editorial authors"/>
    <w:basedOn w:val="ICRPbasic"/>
    <w:link w:val="ICRPeditorialauthorsChar"/>
    <w:pPr>
      <w:spacing w:before="0" w:after="0"/>
      <w:jc w:val="right"/>
    </w:pPr>
    <w:rPr>
      <w:smallCaps/>
    </w:rPr>
  </w:style>
  <w:style w:type="paragraph" w:customStyle="1" w:styleId="ICRPeditorialheader">
    <w:name w:val="ICRP editorial header"/>
    <w:basedOn w:val="ICRPbasic"/>
    <w:next w:val="a0"/>
    <w:link w:val="ICRPeditorialheaderChar"/>
    <w:pPr>
      <w:spacing w:after="480"/>
      <w:jc w:val="center"/>
    </w:pPr>
    <w:rPr>
      <w:sz w:val="32"/>
      <w:szCs w:val="32"/>
    </w:rPr>
  </w:style>
  <w:style w:type="paragraph" w:customStyle="1" w:styleId="Heading1nonumbering">
    <w:name w:val="Heading 1 no numbering"/>
    <w:basedOn w:val="ICRPbasic"/>
    <w:link w:val="Heading1nonumberingChar"/>
    <w:qFormat/>
    <w:pPr>
      <w:spacing w:before="480" w:after="480"/>
      <w:jc w:val="center"/>
    </w:pPr>
    <w:rPr>
      <w:b/>
      <w:bCs/>
      <w:caps/>
      <w:sz w:val="32"/>
      <w:szCs w:val="32"/>
    </w:rPr>
  </w:style>
  <w:style w:type="character" w:customStyle="1" w:styleId="11">
    <w:name w:val="見出し 1 (文字)"/>
    <w:link w:val="1"/>
    <w:rPr>
      <w:rFonts w:eastAsia="Times New Roman"/>
      <w:b/>
      <w:caps/>
      <w:sz w:val="28"/>
      <w:szCs w:val="24"/>
      <w:lang w:eastAsia="en-US"/>
    </w:rPr>
  </w:style>
  <w:style w:type="character" w:customStyle="1" w:styleId="ICRPeditorialheaderChar">
    <w:name w:val="ICRP editorial header Char"/>
    <w:link w:val="ICRPeditorialheader"/>
    <w:rPr>
      <w:rFonts w:eastAsia="Times New Roman"/>
      <w:b w:val="0"/>
      <w:caps/>
      <w:sz w:val="32"/>
      <w:szCs w:val="32"/>
      <w:lang w:eastAsia="en-US"/>
    </w:rPr>
  </w:style>
  <w:style w:type="paragraph" w:customStyle="1" w:styleId="ICRPbasic">
    <w:name w:val="ICRP basic"/>
    <w:link w:val="ICRPbasicChar"/>
    <w:qFormat/>
    <w:pPr>
      <w:spacing w:before="240" w:after="240"/>
      <w:jc w:val="both"/>
    </w:pPr>
    <w:rPr>
      <w:rFonts w:eastAsia="Times New Roman"/>
      <w:szCs w:val="24"/>
      <w:lang w:eastAsia="en-US"/>
    </w:rPr>
  </w:style>
  <w:style w:type="paragraph" w:customStyle="1" w:styleId="ICRPrefs">
    <w:name w:val="ICRP refs"/>
    <w:basedOn w:val="a0"/>
    <w:qFormat/>
    <w:pPr>
      <w:ind w:left="284" w:hanging="284"/>
      <w:jc w:val="both"/>
    </w:pPr>
    <w:rPr>
      <w:sz w:val="22"/>
      <w:szCs w:val="20"/>
      <w:lang w:eastAsia="ja-JP"/>
    </w:rPr>
  </w:style>
  <w:style w:type="character" w:customStyle="1" w:styleId="ICRPeditorialauthorsChar">
    <w:name w:val="ICRP editorial authors Char"/>
    <w:link w:val="ICRPeditorialauthors"/>
    <w:rPr>
      <w:rFonts w:eastAsia="Times New Roman"/>
      <w:smallCaps/>
      <w:sz w:val="24"/>
      <w:szCs w:val="24"/>
      <w:lang w:eastAsia="en-US"/>
    </w:rPr>
  </w:style>
  <w:style w:type="character" w:customStyle="1" w:styleId="ICRPbasicChar">
    <w:name w:val="ICRP basic Char"/>
    <w:link w:val="ICRPbasic"/>
    <w:rPr>
      <w:rFonts w:eastAsia="Times New Roman"/>
      <w:sz w:val="24"/>
      <w:szCs w:val="24"/>
      <w:lang w:eastAsia="en-US"/>
    </w:rPr>
  </w:style>
  <w:style w:type="paragraph" w:customStyle="1" w:styleId="ICRPtitlepage">
    <w:name w:val="ICRP title page"/>
    <w:basedOn w:val="ICRPbasicnospace"/>
    <w:link w:val="ICRPtitlepageChar"/>
    <w:pPr>
      <w:jc w:val="center"/>
    </w:pPr>
    <w:rPr>
      <w:sz w:val="28"/>
      <w:szCs w:val="28"/>
    </w:rPr>
  </w:style>
  <w:style w:type="character" w:customStyle="1" w:styleId="Heading1nonumberingChar">
    <w:name w:val="Heading 1 no numbering Char"/>
    <w:link w:val="Heading1nonumbering"/>
    <w:rPr>
      <w:rFonts w:eastAsia="Times New Roman"/>
      <w:b/>
      <w:bCs/>
      <w:caps w:val="0"/>
      <w:sz w:val="32"/>
      <w:szCs w:val="32"/>
      <w:lang w:eastAsia="en-US"/>
    </w:rPr>
  </w:style>
  <w:style w:type="character" w:customStyle="1" w:styleId="ICRPtitlepageChar">
    <w:name w:val="ICRP title page Char"/>
    <w:link w:val="ICRPtitlepage"/>
    <w:rPr>
      <w:rFonts w:eastAsia="Times New Roman"/>
      <w:sz w:val="28"/>
      <w:szCs w:val="28"/>
      <w:lang w:eastAsia="en-US"/>
    </w:rPr>
  </w:style>
  <w:style w:type="paragraph" w:customStyle="1" w:styleId="notesdontuse">
    <w:name w:val="notes (don't use)"/>
    <w:basedOn w:val="a0"/>
    <w:link w:val="notesdontuseChar"/>
    <w:pPr>
      <w:tabs>
        <w:tab w:val="right" w:leader="dot" w:pos="8080"/>
      </w:tabs>
      <w:jc w:val="center"/>
    </w:pPr>
    <w:rPr>
      <w:b/>
      <w:i/>
      <w:color w:val="C00000"/>
    </w:rPr>
  </w:style>
  <w:style w:type="character" w:customStyle="1" w:styleId="notesdontuseChar">
    <w:name w:val="notes (don't use) Char"/>
    <w:link w:val="notesdontuse"/>
    <w:rPr>
      <w:rFonts w:eastAsia="Times New Roman"/>
      <w:b/>
      <w:i/>
      <w:color w:val="C00000"/>
      <w:sz w:val="24"/>
      <w:szCs w:val="24"/>
      <w:lang w:eastAsia="en-US"/>
    </w:rPr>
  </w:style>
  <w:style w:type="paragraph" w:customStyle="1" w:styleId="ICRPabstracttitle">
    <w:name w:val="ICRP abstract title"/>
    <w:basedOn w:val="ICRPbasic"/>
    <w:next w:val="ICRPbasic"/>
    <w:link w:val="ICRPabstracttitleChar"/>
    <w:pPr>
      <w:spacing w:before="480" w:after="480"/>
      <w:jc w:val="center"/>
    </w:pPr>
    <w:rPr>
      <w:b/>
      <w:bCs/>
      <w:caps/>
      <w:sz w:val="32"/>
      <w:szCs w:val="32"/>
    </w:rPr>
  </w:style>
  <w:style w:type="paragraph" w:customStyle="1" w:styleId="ICRPbasicnospace">
    <w:name w:val="ICRP basic no space"/>
    <w:basedOn w:val="ICRPbasic"/>
    <w:link w:val="ICRPbasicnospaceChar"/>
    <w:qFormat/>
    <w:pPr>
      <w:spacing w:before="0" w:after="0"/>
    </w:pPr>
  </w:style>
  <w:style w:type="character" w:customStyle="1" w:styleId="ICRPabstracttitleChar">
    <w:name w:val="ICRP abstract title Char"/>
    <w:link w:val="ICRPabstracttitle"/>
    <w:rPr>
      <w:rFonts w:eastAsia="Times New Roman"/>
      <w:b/>
      <w:bCs/>
      <w:caps/>
      <w:sz w:val="32"/>
      <w:szCs w:val="32"/>
      <w:lang w:eastAsia="en-US"/>
    </w:rPr>
  </w:style>
  <w:style w:type="character" w:customStyle="1" w:styleId="ICRPbasicnospaceChar">
    <w:name w:val="ICRP basic no space Char"/>
    <w:link w:val="ICRPbasicnospace"/>
    <w:rPr>
      <w:rFonts w:eastAsia="Times New Roman"/>
      <w:sz w:val="24"/>
      <w:szCs w:val="24"/>
      <w:lang w:eastAsia="en-US"/>
    </w:rPr>
  </w:style>
  <w:style w:type="paragraph" w:customStyle="1" w:styleId="ICRPbasicbulletlist">
    <w:name w:val="ICRP basic bullet list"/>
    <w:basedOn w:val="ICRPbasic"/>
    <w:link w:val="ICRPbasicbulletlistChar"/>
    <w:qFormat/>
    <w:pPr>
      <w:numPr>
        <w:numId w:val="9"/>
      </w:numPr>
      <w:spacing w:before="60" w:after="60"/>
      <w:ind w:left="624" w:hanging="340"/>
    </w:pPr>
  </w:style>
  <w:style w:type="character" w:customStyle="1" w:styleId="ICRPbasicbulletlistChar">
    <w:name w:val="ICRP basic bullet list Char"/>
    <w:link w:val="ICRPbasicbulletlist"/>
    <w:rPr>
      <w:rFonts w:eastAsia="Times New Roman"/>
      <w:sz w:val="24"/>
      <w:szCs w:val="24"/>
      <w:lang w:eastAsia="en-US"/>
    </w:rPr>
  </w:style>
  <w:style w:type="character" w:styleId="aa">
    <w:name w:val="annotation reference"/>
    <w:uiPriority w:val="99"/>
    <w:rPr>
      <w:sz w:val="16"/>
      <w:szCs w:val="16"/>
    </w:rPr>
  </w:style>
  <w:style w:type="paragraph" w:styleId="ab">
    <w:name w:val="annotation text"/>
    <w:basedOn w:val="a0"/>
    <w:link w:val="ac"/>
    <w:uiPriority w:val="99"/>
    <w:rPr>
      <w:sz w:val="20"/>
      <w:szCs w:val="20"/>
    </w:rPr>
  </w:style>
  <w:style w:type="character" w:customStyle="1" w:styleId="ac">
    <w:name w:val="コメント文字列 (文字)"/>
    <w:link w:val="ab"/>
    <w:uiPriority w:val="99"/>
    <w:rPr>
      <w:rFonts w:eastAsia="Times New Roman"/>
      <w:lang w:val="en-US" w:eastAsia="en-US"/>
    </w:rPr>
  </w:style>
  <w:style w:type="paragraph" w:styleId="ad">
    <w:name w:val="annotation subject"/>
    <w:basedOn w:val="ab"/>
    <w:next w:val="ab"/>
    <w:link w:val="ae"/>
    <w:rPr>
      <w:b/>
      <w:bCs/>
    </w:rPr>
  </w:style>
  <w:style w:type="character" w:customStyle="1" w:styleId="ae">
    <w:name w:val="コメント内容 (文字)"/>
    <w:link w:val="ad"/>
    <w:rPr>
      <w:rFonts w:eastAsia="Times New Roman"/>
      <w:b/>
      <w:bCs/>
      <w:lang w:val="en-US" w:eastAsia="en-US"/>
    </w:rPr>
  </w:style>
  <w:style w:type="paragraph" w:customStyle="1" w:styleId="Annalstext">
    <w:name w:val="Annals text"/>
    <w:basedOn w:val="a0"/>
    <w:link w:val="AnnalstextChar"/>
    <w:qFormat/>
    <w:pPr>
      <w:tabs>
        <w:tab w:val="num" w:pos="502"/>
        <w:tab w:val="num" w:pos="644"/>
        <w:tab w:val="left" w:pos="851"/>
      </w:tabs>
      <w:ind w:left="-142" w:firstLine="284"/>
      <w:jc w:val="both"/>
    </w:pPr>
    <w:rPr>
      <w:snapToGrid w:val="0"/>
      <w:szCs w:val="20"/>
      <w:lang w:eastAsia="sv-SE"/>
    </w:rPr>
  </w:style>
  <w:style w:type="character" w:customStyle="1" w:styleId="AnnalstextChar">
    <w:name w:val="Annals text Char"/>
    <w:link w:val="Annalstext"/>
    <w:rPr>
      <w:snapToGrid w:val="0"/>
      <w:sz w:val="24"/>
      <w:lang w:eastAsia="sv-SE"/>
    </w:rPr>
  </w:style>
  <w:style w:type="character" w:customStyle="1" w:styleId="Annalstext0">
    <w:name w:val="Annals text (文字)"/>
    <w:rPr>
      <w:snapToGrid w:val="0"/>
      <w:sz w:val="24"/>
      <w:lang w:val="en-GB" w:eastAsia="sv-SE"/>
    </w:rPr>
  </w:style>
  <w:style w:type="character" w:styleId="af">
    <w:name w:val="Strong"/>
    <w:uiPriority w:val="22"/>
    <w:qFormat/>
    <w:rPr>
      <w:b/>
      <w:bCs/>
    </w:rPr>
  </w:style>
  <w:style w:type="paragraph" w:styleId="af0">
    <w:name w:val="caption"/>
    <w:basedOn w:val="a0"/>
    <w:next w:val="a0"/>
    <w:qFormat/>
    <w:pPr>
      <w:widowControl w:val="0"/>
      <w:autoSpaceDE w:val="0"/>
      <w:autoSpaceDN w:val="0"/>
      <w:adjustRightInd w:val="0"/>
      <w:spacing w:before="120" w:after="120" w:line="480" w:lineRule="auto"/>
    </w:pPr>
    <w:rPr>
      <w:b/>
      <w:szCs w:val="20"/>
    </w:rPr>
  </w:style>
  <w:style w:type="paragraph" w:styleId="50">
    <w:name w:val="toc 5"/>
    <w:basedOn w:val="a0"/>
    <w:next w:val="a0"/>
    <w:autoRedefine/>
    <w:pPr>
      <w:ind w:left="960"/>
    </w:pPr>
    <w:rPr>
      <w:rFonts w:asciiTheme="minorHAnsi" w:hAnsiTheme="minorHAnsi" w:cstheme="minorHAnsi"/>
      <w:sz w:val="20"/>
      <w:szCs w:val="20"/>
    </w:rPr>
  </w:style>
  <w:style w:type="paragraph" w:customStyle="1" w:styleId="AnnalshdgA">
    <w:name w:val="Annals hdg A"/>
    <w:basedOn w:val="1"/>
    <w:pPr>
      <w:keepNext/>
      <w:numPr>
        <w:numId w:val="10"/>
      </w:numPr>
    </w:pPr>
    <w:rPr>
      <w:snapToGrid w:val="0"/>
      <w:kern w:val="28"/>
      <w:sz w:val="24"/>
      <w:szCs w:val="20"/>
      <w:lang w:eastAsia="sv-SE"/>
    </w:rPr>
  </w:style>
  <w:style w:type="paragraph" w:customStyle="1" w:styleId="AnnalshdgB">
    <w:name w:val="Annals hdg B"/>
    <w:basedOn w:val="2"/>
    <w:pPr>
      <w:keepNext/>
      <w:numPr>
        <w:numId w:val="10"/>
      </w:numPr>
      <w:tabs>
        <w:tab w:val="clear" w:pos="851"/>
      </w:tabs>
      <w:jc w:val="center"/>
    </w:pPr>
    <w:rPr>
      <w:snapToGrid w:val="0"/>
      <w:sz w:val="24"/>
      <w:szCs w:val="20"/>
      <w:lang w:eastAsia="sv-SE"/>
    </w:rPr>
  </w:style>
  <w:style w:type="paragraph" w:customStyle="1" w:styleId="AnnalshdgC">
    <w:name w:val="Annals hdg C"/>
    <w:basedOn w:val="a0"/>
    <w:pPr>
      <w:numPr>
        <w:ilvl w:val="2"/>
        <w:numId w:val="10"/>
      </w:numPr>
      <w:tabs>
        <w:tab w:val="clear" w:pos="1004"/>
        <w:tab w:val="num" w:pos="1146"/>
      </w:tabs>
      <w:spacing w:before="240" w:after="240"/>
      <w:ind w:left="426"/>
    </w:pPr>
    <w:rPr>
      <w:b/>
      <w:snapToGrid w:val="0"/>
      <w:szCs w:val="20"/>
      <w:lang w:eastAsia="sv-SE"/>
    </w:rPr>
  </w:style>
  <w:style w:type="paragraph" w:customStyle="1" w:styleId="Table">
    <w:name w:val="Table"/>
    <w:basedOn w:val="a0"/>
    <w:qFormat/>
    <w:pPr>
      <w:widowControl w:val="0"/>
    </w:pPr>
    <w:rPr>
      <w:snapToGrid w:val="0"/>
      <w:sz w:val="20"/>
      <w:szCs w:val="20"/>
    </w:rPr>
  </w:style>
  <w:style w:type="paragraph" w:styleId="af1">
    <w:name w:val="Body Text"/>
    <w:basedOn w:val="a0"/>
    <w:link w:val="af2"/>
    <w:pPr>
      <w:spacing w:before="160" w:line="280" w:lineRule="atLeast"/>
    </w:pPr>
    <w:rPr>
      <w:snapToGrid w:val="0"/>
      <w:color w:val="000000"/>
      <w:szCs w:val="20"/>
      <w:lang w:val="sv-SE" w:eastAsia="sv-SE"/>
    </w:rPr>
  </w:style>
  <w:style w:type="character" w:customStyle="1" w:styleId="af2">
    <w:name w:val="本文 (文字)"/>
    <w:basedOn w:val="a1"/>
    <w:link w:val="af1"/>
    <w:rPr>
      <w:snapToGrid w:val="0"/>
      <w:color w:val="000000"/>
      <w:sz w:val="24"/>
      <w:lang w:val="sv-SE" w:eastAsia="sv-SE"/>
    </w:rPr>
  </w:style>
  <w:style w:type="paragraph" w:customStyle="1" w:styleId="Annalsrefs">
    <w:name w:val="Annals refs"/>
    <w:basedOn w:val="a0"/>
    <w:pPr>
      <w:ind w:left="284" w:hanging="284"/>
    </w:pPr>
    <w:rPr>
      <w:snapToGrid w:val="0"/>
      <w:sz w:val="22"/>
      <w:szCs w:val="20"/>
      <w:lang w:eastAsia="sv-SE"/>
    </w:rPr>
  </w:style>
  <w:style w:type="paragraph" w:customStyle="1" w:styleId="GlossaryHeadChar">
    <w:name w:val="Glossary Head Char"/>
    <w:basedOn w:val="a0"/>
    <w:link w:val="GlossaryHeadCharChar"/>
    <w:pPr>
      <w:overflowPunct w:val="0"/>
      <w:autoSpaceDE w:val="0"/>
      <w:autoSpaceDN w:val="0"/>
      <w:adjustRightInd w:val="0"/>
      <w:spacing w:before="240" w:after="60"/>
      <w:textAlignment w:val="baseline"/>
    </w:pPr>
  </w:style>
  <w:style w:type="paragraph" w:customStyle="1" w:styleId="GlossaryBodyChar">
    <w:name w:val="Glossary Body Char"/>
    <w:basedOn w:val="a0"/>
    <w:link w:val="GlossaryBodyCharChar"/>
    <w:pPr>
      <w:overflowPunct w:val="0"/>
      <w:autoSpaceDE w:val="0"/>
      <w:autoSpaceDN w:val="0"/>
      <w:adjustRightInd w:val="0"/>
      <w:spacing w:after="120"/>
      <w:ind w:left="737"/>
      <w:jc w:val="both"/>
      <w:textAlignment w:val="baseline"/>
    </w:pPr>
  </w:style>
  <w:style w:type="character" w:customStyle="1" w:styleId="GlossaryBodyCharChar">
    <w:name w:val="Glossary Body Char Char"/>
    <w:link w:val="GlossaryBodyChar"/>
    <w:rPr>
      <w:sz w:val="24"/>
      <w:szCs w:val="24"/>
      <w:lang w:eastAsia="en-US"/>
    </w:rPr>
  </w:style>
  <w:style w:type="character" w:customStyle="1" w:styleId="GlossaryHeadCharChar">
    <w:name w:val="Glossary Head Char Char"/>
    <w:link w:val="GlossaryHeadChar"/>
    <w:rPr>
      <w:sz w:val="24"/>
      <w:szCs w:val="24"/>
      <w:lang w:eastAsia="en-US"/>
    </w:rPr>
  </w:style>
  <w:style w:type="paragraph" w:customStyle="1" w:styleId="glossarytextheading">
    <w:name w:val="glossary text heading"/>
    <w:basedOn w:val="a0"/>
    <w:pPr>
      <w:keepNext/>
      <w:keepLines/>
      <w:suppressAutoHyphens/>
      <w:jc w:val="both"/>
    </w:pPr>
    <w:rPr>
      <w:sz w:val="22"/>
      <w:szCs w:val="20"/>
      <w:lang w:eastAsia="de-DE"/>
    </w:rPr>
  </w:style>
  <w:style w:type="paragraph" w:customStyle="1" w:styleId="glossarytext">
    <w:name w:val="glossary text"/>
    <w:basedOn w:val="a0"/>
    <w:pPr>
      <w:suppressAutoHyphens/>
      <w:ind w:left="720"/>
      <w:jc w:val="both"/>
    </w:pPr>
    <w:rPr>
      <w:sz w:val="22"/>
      <w:szCs w:val="20"/>
      <w:lang w:eastAsia="de-DE"/>
    </w:rPr>
  </w:style>
  <w:style w:type="paragraph" w:styleId="af3">
    <w:name w:val="TOC Heading"/>
    <w:basedOn w:val="1"/>
    <w:next w:val="a0"/>
    <w:uiPriority w:val="39"/>
    <w:unhideWhenUsed/>
    <w:qFormat/>
    <w:pPr>
      <w:keepNext/>
      <w:keepLines/>
      <w:numPr>
        <w:numId w:val="0"/>
      </w:numPr>
      <w:spacing w:before="480" w:after="0" w:line="276" w:lineRule="auto"/>
      <w:jc w:val="left"/>
      <w:outlineLvl w:val="9"/>
    </w:pPr>
    <w:rPr>
      <w:rFonts w:asciiTheme="majorHAnsi" w:eastAsiaTheme="majorEastAsia" w:hAnsiTheme="majorHAnsi" w:cstheme="majorBidi"/>
      <w:bCs/>
      <w:caps w:val="0"/>
      <w:color w:val="2F5496" w:themeColor="accent1" w:themeShade="BF"/>
      <w:szCs w:val="28"/>
      <w:lang w:val="en-US"/>
    </w:rPr>
  </w:style>
  <w:style w:type="paragraph" w:styleId="41">
    <w:name w:val="toc 4"/>
    <w:basedOn w:val="a0"/>
    <w:next w:val="a0"/>
    <w:autoRedefine/>
    <w:pPr>
      <w:ind w:left="720"/>
    </w:pPr>
    <w:rPr>
      <w:rFonts w:cstheme="minorHAnsi"/>
      <w:sz w:val="20"/>
      <w:szCs w:val="20"/>
    </w:rPr>
  </w:style>
  <w:style w:type="paragraph" w:styleId="60">
    <w:name w:val="toc 6"/>
    <w:basedOn w:val="a0"/>
    <w:next w:val="a0"/>
    <w:autoRedefine/>
    <w:pPr>
      <w:ind w:left="1200"/>
    </w:pPr>
    <w:rPr>
      <w:rFonts w:asciiTheme="minorHAnsi" w:hAnsiTheme="minorHAnsi" w:cstheme="minorHAnsi"/>
      <w:sz w:val="20"/>
      <w:szCs w:val="20"/>
    </w:rPr>
  </w:style>
  <w:style w:type="paragraph" w:styleId="70">
    <w:name w:val="toc 7"/>
    <w:basedOn w:val="a0"/>
    <w:next w:val="a0"/>
    <w:autoRedefine/>
    <w:pPr>
      <w:ind w:left="1440"/>
    </w:pPr>
    <w:rPr>
      <w:rFonts w:asciiTheme="minorHAnsi" w:hAnsiTheme="minorHAnsi" w:cstheme="minorHAnsi"/>
      <w:sz w:val="20"/>
      <w:szCs w:val="20"/>
    </w:rPr>
  </w:style>
  <w:style w:type="paragraph" w:styleId="80">
    <w:name w:val="toc 8"/>
    <w:basedOn w:val="a0"/>
    <w:next w:val="a0"/>
    <w:autoRedefine/>
    <w:pPr>
      <w:ind w:left="1680"/>
    </w:pPr>
    <w:rPr>
      <w:rFonts w:asciiTheme="minorHAnsi" w:hAnsiTheme="minorHAnsi" w:cstheme="minorHAnsi"/>
      <w:sz w:val="20"/>
      <w:szCs w:val="20"/>
    </w:rPr>
  </w:style>
  <w:style w:type="paragraph" w:styleId="90">
    <w:name w:val="toc 9"/>
    <w:basedOn w:val="a0"/>
    <w:next w:val="a0"/>
    <w:autoRedefine/>
    <w:pPr>
      <w:ind w:left="1920"/>
    </w:pPr>
    <w:rPr>
      <w:rFonts w:asciiTheme="minorHAnsi" w:hAnsiTheme="minorHAnsi" w:cstheme="minorHAnsi"/>
      <w:sz w:val="20"/>
      <w:szCs w:val="20"/>
    </w:rPr>
  </w:style>
  <w:style w:type="paragraph" w:styleId="af4">
    <w:name w:val="header"/>
    <w:basedOn w:val="a0"/>
    <w:link w:val="af5"/>
    <w:pPr>
      <w:tabs>
        <w:tab w:val="center" w:pos="4513"/>
        <w:tab w:val="right" w:pos="9026"/>
      </w:tabs>
    </w:pPr>
  </w:style>
  <w:style w:type="character" w:customStyle="1" w:styleId="af5">
    <w:name w:val="ヘッダー (文字)"/>
    <w:basedOn w:val="a1"/>
    <w:link w:val="af4"/>
    <w:rPr>
      <w:rFonts w:eastAsia="Times New Roman"/>
      <w:sz w:val="24"/>
      <w:szCs w:val="24"/>
      <w:lang w:val="en-US" w:eastAsia="en-US"/>
    </w:rPr>
  </w:style>
  <w:style w:type="paragraph" w:styleId="af6">
    <w:name w:val="footer"/>
    <w:basedOn w:val="a0"/>
    <w:link w:val="af7"/>
    <w:pPr>
      <w:tabs>
        <w:tab w:val="center" w:pos="4513"/>
        <w:tab w:val="right" w:pos="9026"/>
      </w:tabs>
    </w:pPr>
  </w:style>
  <w:style w:type="character" w:customStyle="1" w:styleId="af7">
    <w:name w:val="フッター (文字)"/>
    <w:basedOn w:val="a1"/>
    <w:link w:val="af6"/>
    <w:rPr>
      <w:rFonts w:eastAsia="Times New Roman"/>
      <w:sz w:val="24"/>
      <w:szCs w:val="24"/>
      <w:lang w:val="en-US" w:eastAsia="en-US"/>
    </w:rPr>
  </w:style>
  <w:style w:type="paragraph" w:customStyle="1" w:styleId="EndNoteBibliography">
    <w:name w:val="EndNote Bibliography"/>
    <w:basedOn w:val="a0"/>
    <w:link w:val="EndNoteBibliographyZchn"/>
    <w:pPr>
      <w:jc w:val="both"/>
    </w:pPr>
    <w:rPr>
      <w:noProof/>
      <w:snapToGrid w:val="0"/>
      <w:szCs w:val="20"/>
      <w:lang w:val="sv-SE" w:eastAsia="sv-SE"/>
    </w:rPr>
  </w:style>
  <w:style w:type="character" w:customStyle="1" w:styleId="EndNoteBibliographyZchn">
    <w:name w:val="EndNote Bibliography Zchn"/>
    <w:link w:val="EndNoteBibliography"/>
    <w:rPr>
      <w:noProof/>
      <w:snapToGrid w:val="0"/>
      <w:szCs w:val="20"/>
      <w:lang w:val="sv-SE" w:eastAsia="sv-SE"/>
    </w:rPr>
  </w:style>
  <w:style w:type="character" w:styleId="af8">
    <w:name w:val="FollowedHyperlink"/>
    <w:basedOn w:val="a1"/>
    <w:rPr>
      <w:color w:val="954F72" w:themeColor="followedHyperlink"/>
      <w:u w:val="single"/>
    </w:rPr>
  </w:style>
  <w:style w:type="paragraph" w:customStyle="1" w:styleId="EndNoteBibliographyTitle">
    <w:name w:val="EndNote Bibliography Title"/>
    <w:basedOn w:val="a0"/>
    <w:link w:val="EndNoteBibliographyTitleChar"/>
    <w:pPr>
      <w:jc w:val="center"/>
    </w:pPr>
  </w:style>
  <w:style w:type="character" w:customStyle="1" w:styleId="EndNoteBibliographyTitleChar">
    <w:name w:val="EndNote Bibliography Title Char"/>
    <w:basedOn w:val="Heading1nonumberingChar"/>
    <w:link w:val="EndNoteBibliographyTitle"/>
    <w:rPr>
      <w:rFonts w:eastAsia="Times New Roman"/>
      <w:b w:val="0"/>
      <w:bCs w:val="0"/>
      <w:caps w:val="0"/>
      <w:sz w:val="32"/>
      <w:szCs w:val="32"/>
      <w:lang w:eastAsia="en-US"/>
    </w:rPr>
  </w:style>
  <w:style w:type="paragraph" w:styleId="af9">
    <w:name w:val="Balloon Text"/>
    <w:basedOn w:val="a0"/>
    <w:link w:val="afa"/>
    <w:rPr>
      <w:rFonts w:ascii="Segoe UI" w:hAnsi="Segoe UI" w:cs="Segoe UI"/>
      <w:sz w:val="18"/>
      <w:szCs w:val="18"/>
    </w:rPr>
  </w:style>
  <w:style w:type="character" w:customStyle="1" w:styleId="afa">
    <w:name w:val="吹き出し (文字)"/>
    <w:basedOn w:val="a1"/>
    <w:link w:val="af9"/>
    <w:rPr>
      <w:rFonts w:ascii="Segoe UI" w:eastAsia="Times New Roman" w:hAnsi="Segoe UI" w:cs="Segoe UI"/>
      <w:sz w:val="18"/>
      <w:szCs w:val="18"/>
      <w:lang w:val="en-US" w:eastAsia="en-US"/>
    </w:rPr>
  </w:style>
  <w:style w:type="paragraph" w:styleId="afb">
    <w:name w:val="Title"/>
    <w:basedOn w:val="a0"/>
    <w:next w:val="a0"/>
    <w:link w:val="afc"/>
    <w:uiPriority w:val="10"/>
    <w:qFormat/>
    <w:pPr>
      <w:contextualSpacing/>
      <w:jc w:val="center"/>
    </w:pPr>
    <w:rPr>
      <w:rFonts w:ascii="Arial" w:eastAsiaTheme="majorEastAsia" w:hAnsi="Arial"/>
      <w:caps/>
      <w:spacing w:val="-10"/>
      <w:kern w:val="28"/>
      <w:sz w:val="48"/>
      <w:szCs w:val="56"/>
    </w:rPr>
  </w:style>
  <w:style w:type="character" w:customStyle="1" w:styleId="afc">
    <w:name w:val="表題 (文字)"/>
    <w:basedOn w:val="a1"/>
    <w:link w:val="afb"/>
    <w:uiPriority w:val="10"/>
    <w:rPr>
      <w:rFonts w:ascii="Arial" w:eastAsiaTheme="majorEastAsia" w:hAnsi="Arial"/>
      <w:caps/>
      <w:spacing w:val="-10"/>
      <w:kern w:val="28"/>
      <w:sz w:val="48"/>
      <w:szCs w:val="56"/>
      <w:lang w:eastAsia="en-US"/>
    </w:rPr>
  </w:style>
  <w:style w:type="character" w:customStyle="1" w:styleId="NichtaufgelsteErwhnung2">
    <w:name w:val="Nicht aufgelöste Erwähnung2"/>
    <w:basedOn w:val="a1"/>
    <w:uiPriority w:val="99"/>
    <w:semiHidden/>
    <w:unhideWhenUsed/>
    <w:rPr>
      <w:color w:val="605E5C"/>
      <w:shd w:val="clear" w:color="auto" w:fill="E1DFDD"/>
    </w:rPr>
  </w:style>
  <w:style w:type="character" w:customStyle="1" w:styleId="normaltextrun">
    <w:name w:val="normaltextrun"/>
    <w:basedOn w:val="a1"/>
  </w:style>
  <w:style w:type="character" w:customStyle="1" w:styleId="hgkelc">
    <w:name w:val="hgkelc"/>
    <w:basedOn w:val="a1"/>
  </w:style>
  <w:style w:type="paragraph" w:customStyle="1" w:styleId="Default">
    <w:name w:val="Default"/>
    <w:pPr>
      <w:autoSpaceDE w:val="0"/>
      <w:autoSpaceDN w:val="0"/>
      <w:adjustRightInd w:val="0"/>
    </w:pPr>
    <w:rPr>
      <w:color w:val="000000"/>
      <w:szCs w:val="24"/>
      <w:lang w:val="de-DE"/>
    </w:rPr>
  </w:style>
  <w:style w:type="character" w:customStyle="1" w:styleId="muxgbd">
    <w:name w:val="muxgbd"/>
    <w:basedOn w:val="a1"/>
  </w:style>
  <w:style w:type="table" w:styleId="22">
    <w:name w:val="Plain Table 2"/>
    <w:basedOn w:val="a2"/>
    <w:uiPriority w:val="4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d">
    <w:name w:val="Unresolved Mention"/>
    <w:basedOn w:val="a1"/>
    <w:uiPriority w:val="99"/>
    <w:semiHidden/>
    <w:unhideWhenUsed/>
    <w:rPr>
      <w:color w:val="605E5C"/>
      <w:shd w:val="clear" w:color="auto" w:fill="E1DFDD"/>
    </w:rPr>
  </w:style>
  <w:style w:type="paragraph" w:customStyle="1" w:styleId="AnnalsExecSumtext">
    <w:name w:val="Annals ExecSum text"/>
    <w:basedOn w:val="Annalstext"/>
    <w:pPr>
      <w:tabs>
        <w:tab w:val="clear" w:pos="502"/>
      </w:tabs>
      <w:ind w:left="0"/>
    </w:pPr>
    <w:rPr>
      <w:rFonts w:ascii="Times" w:hAnsi="Times"/>
      <w:lang w:eastAsia="de-DE"/>
    </w:rPr>
  </w:style>
  <w:style w:type="paragraph" w:customStyle="1" w:styleId="paragraph">
    <w:name w:val="paragraph"/>
    <w:basedOn w:val="a0"/>
    <w:pPr>
      <w:spacing w:before="100" w:beforeAutospacing="1" w:after="100" w:afterAutospacing="1"/>
    </w:pPr>
    <w:rPr>
      <w:lang w:val="de-DE" w:eastAsia="de-DE"/>
    </w:rPr>
  </w:style>
  <w:style w:type="character" w:customStyle="1" w:styleId="eop">
    <w:name w:val="eop"/>
    <w:basedOn w:val="a1"/>
  </w:style>
  <w:style w:type="paragraph" w:styleId="Web">
    <w:name w:val="Normal (Web)"/>
    <w:basedOn w:val="a0"/>
    <w:uiPriority w:val="99"/>
    <w:unhideWhenUsed/>
    <w:pPr>
      <w:spacing w:before="100" w:beforeAutospacing="1" w:after="100" w:afterAutospacing="1"/>
    </w:pPr>
    <w:rPr>
      <w:rFonts w:eastAsiaTheme="minorEastAsia"/>
      <w:lang w:val="de-DE" w:eastAsia="de-DE"/>
    </w:rPr>
  </w:style>
  <w:style w:type="character" w:customStyle="1" w:styleId="Untertitel1">
    <w:name w:val="Untertitel1"/>
    <w:basedOn w:val="a1"/>
  </w:style>
  <w:style w:type="paragraph" w:styleId="afe">
    <w:name w:val="Plain Text"/>
    <w:basedOn w:val="a0"/>
    <w:link w:val="aff"/>
    <w:uiPriority w:val="99"/>
    <w:unhideWhenUsed/>
    <w:rPr>
      <w:rFonts w:ascii="Calibri" w:eastAsia="Times New Roman" w:hAnsi="Calibri" w:cs="Calibri"/>
      <w:sz w:val="22"/>
      <w:szCs w:val="21"/>
      <w:lang w:val="de-DE" w:eastAsia="de-DE"/>
    </w:rPr>
  </w:style>
  <w:style w:type="character" w:customStyle="1" w:styleId="aff">
    <w:name w:val="書式なし (文字)"/>
    <w:basedOn w:val="a1"/>
    <w:link w:val="afe"/>
    <w:uiPriority w:val="99"/>
    <w:rPr>
      <w:rFonts w:ascii="Calibri" w:eastAsia="Times New Roman" w:hAnsi="Calibri" w:cs="Calibri"/>
      <w:sz w:val="22"/>
      <w:szCs w:val="21"/>
      <w:lang w:val="de-DE" w:eastAsia="de-DE"/>
    </w:rPr>
  </w:style>
  <w:style w:type="paragraph" w:customStyle="1" w:styleId="Annaddtxt">
    <w:name w:val="Ann add txt"/>
    <w:basedOn w:val="a0"/>
    <w:pPr>
      <w:tabs>
        <w:tab w:val="left" w:pos="646"/>
      </w:tabs>
      <w:jc w:val="both"/>
    </w:pPr>
    <w:rPr>
      <w:snapToGrid w:val="0"/>
      <w:szCs w:val="20"/>
      <w:lang w:eastAsia="sv-SE"/>
    </w:rPr>
  </w:style>
  <w:style w:type="paragraph" w:customStyle="1" w:styleId="AnnalsAnxhdB">
    <w:name w:val="Annals Anx hd B"/>
    <w:basedOn w:val="a0"/>
    <w:pPr>
      <w:keepNext/>
      <w:spacing w:before="480" w:after="240"/>
      <w:jc w:val="center"/>
      <w:outlineLvl w:val="1"/>
    </w:pPr>
    <w:rPr>
      <w:b/>
      <w:snapToGrid w:val="0"/>
      <w:szCs w:val="20"/>
      <w:lang w:eastAsia="sv-SE"/>
    </w:rPr>
  </w:style>
  <w:style w:type="paragraph" w:customStyle="1" w:styleId="AnnalsAnxhdC">
    <w:name w:val="Annals Anx hd C"/>
    <w:basedOn w:val="a0"/>
    <w:pPr>
      <w:spacing w:before="240" w:after="240"/>
    </w:pPr>
    <w:rPr>
      <w:b/>
      <w:snapToGrid w:val="0"/>
      <w:szCs w:val="20"/>
      <w:lang w:eastAsia="sv-SE"/>
    </w:rPr>
  </w:style>
  <w:style w:type="character" w:customStyle="1" w:styleId="EndNoteBibliographyChar">
    <w:name w:val="EndNote Bibliography Char"/>
    <w:basedOn w:val="AnnalstextChar"/>
    <w:rPr>
      <w:rFonts w:ascii="Times New Roman" w:eastAsia="ＭＳ 明朝" w:hAnsi="Times New Roman" w:cs="Times New Roman"/>
      <w:noProof/>
      <w:snapToGrid w:val="0"/>
      <w:sz w:val="24"/>
      <w:szCs w:val="20"/>
      <w:lang w:val="sv-SE" w:eastAsia="sv-SE"/>
    </w:rPr>
  </w:style>
  <w:style w:type="character" w:styleId="aff0">
    <w:name w:val="line number"/>
    <w:basedOn w:val="a1"/>
  </w:style>
  <w:style w:type="character" w:customStyle="1" w:styleId="a-list-item">
    <w:name w:val="a-list-item"/>
    <w:basedOn w:val="a1"/>
  </w:style>
  <w:style w:type="paragraph" w:styleId="a">
    <w:name w:val="List Bullet"/>
    <w:basedOn w:val="a0"/>
    <w:pPr>
      <w:numPr>
        <w:numId w:val="28"/>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0860722">
      <w:bodyDiv w:val="1"/>
      <w:marLeft w:val="0"/>
      <w:marRight w:val="0"/>
      <w:marTop w:val="0"/>
      <w:marBottom w:val="0"/>
      <w:divBdr>
        <w:top w:val="none" w:sz="0" w:space="0" w:color="auto"/>
        <w:left w:val="none" w:sz="0" w:space="0" w:color="auto"/>
        <w:bottom w:val="none" w:sz="0" w:space="0" w:color="auto"/>
        <w:right w:val="none" w:sz="0" w:space="0" w:color="auto"/>
      </w:divBdr>
    </w:div>
    <w:div w:id="223882585">
      <w:bodyDiv w:val="1"/>
      <w:marLeft w:val="0"/>
      <w:marRight w:val="0"/>
      <w:marTop w:val="0"/>
      <w:marBottom w:val="0"/>
      <w:divBdr>
        <w:top w:val="none" w:sz="0" w:space="0" w:color="auto"/>
        <w:left w:val="none" w:sz="0" w:space="0" w:color="auto"/>
        <w:bottom w:val="none" w:sz="0" w:space="0" w:color="auto"/>
        <w:right w:val="none" w:sz="0" w:space="0" w:color="auto"/>
      </w:divBdr>
    </w:div>
    <w:div w:id="239483452">
      <w:bodyDiv w:val="1"/>
      <w:marLeft w:val="0"/>
      <w:marRight w:val="0"/>
      <w:marTop w:val="0"/>
      <w:marBottom w:val="0"/>
      <w:divBdr>
        <w:top w:val="none" w:sz="0" w:space="0" w:color="auto"/>
        <w:left w:val="none" w:sz="0" w:space="0" w:color="auto"/>
        <w:bottom w:val="none" w:sz="0" w:space="0" w:color="auto"/>
        <w:right w:val="none" w:sz="0" w:space="0" w:color="auto"/>
      </w:divBdr>
    </w:div>
    <w:div w:id="310525693">
      <w:bodyDiv w:val="1"/>
      <w:marLeft w:val="0"/>
      <w:marRight w:val="0"/>
      <w:marTop w:val="0"/>
      <w:marBottom w:val="0"/>
      <w:divBdr>
        <w:top w:val="none" w:sz="0" w:space="0" w:color="auto"/>
        <w:left w:val="none" w:sz="0" w:space="0" w:color="auto"/>
        <w:bottom w:val="none" w:sz="0" w:space="0" w:color="auto"/>
        <w:right w:val="none" w:sz="0" w:space="0" w:color="auto"/>
      </w:divBdr>
    </w:div>
    <w:div w:id="348798515">
      <w:bodyDiv w:val="1"/>
      <w:marLeft w:val="0"/>
      <w:marRight w:val="0"/>
      <w:marTop w:val="0"/>
      <w:marBottom w:val="0"/>
      <w:divBdr>
        <w:top w:val="none" w:sz="0" w:space="0" w:color="auto"/>
        <w:left w:val="none" w:sz="0" w:space="0" w:color="auto"/>
        <w:bottom w:val="none" w:sz="0" w:space="0" w:color="auto"/>
        <w:right w:val="none" w:sz="0" w:space="0" w:color="auto"/>
      </w:divBdr>
      <w:divsChild>
        <w:div w:id="960693345">
          <w:marLeft w:val="0"/>
          <w:marRight w:val="0"/>
          <w:marTop w:val="0"/>
          <w:marBottom w:val="0"/>
          <w:divBdr>
            <w:top w:val="none" w:sz="0" w:space="0" w:color="auto"/>
            <w:left w:val="none" w:sz="0" w:space="0" w:color="auto"/>
            <w:bottom w:val="none" w:sz="0" w:space="0" w:color="auto"/>
            <w:right w:val="none" w:sz="0" w:space="0" w:color="auto"/>
          </w:divBdr>
        </w:div>
      </w:divsChild>
    </w:div>
    <w:div w:id="361904866">
      <w:bodyDiv w:val="1"/>
      <w:marLeft w:val="0"/>
      <w:marRight w:val="0"/>
      <w:marTop w:val="0"/>
      <w:marBottom w:val="0"/>
      <w:divBdr>
        <w:top w:val="none" w:sz="0" w:space="0" w:color="auto"/>
        <w:left w:val="none" w:sz="0" w:space="0" w:color="auto"/>
        <w:bottom w:val="none" w:sz="0" w:space="0" w:color="auto"/>
        <w:right w:val="none" w:sz="0" w:space="0" w:color="auto"/>
      </w:divBdr>
    </w:div>
    <w:div w:id="519439449">
      <w:bodyDiv w:val="1"/>
      <w:marLeft w:val="0"/>
      <w:marRight w:val="0"/>
      <w:marTop w:val="0"/>
      <w:marBottom w:val="0"/>
      <w:divBdr>
        <w:top w:val="none" w:sz="0" w:space="0" w:color="auto"/>
        <w:left w:val="none" w:sz="0" w:space="0" w:color="auto"/>
        <w:bottom w:val="none" w:sz="0" w:space="0" w:color="auto"/>
        <w:right w:val="none" w:sz="0" w:space="0" w:color="auto"/>
      </w:divBdr>
    </w:div>
    <w:div w:id="814447472">
      <w:bodyDiv w:val="1"/>
      <w:marLeft w:val="0"/>
      <w:marRight w:val="0"/>
      <w:marTop w:val="0"/>
      <w:marBottom w:val="0"/>
      <w:divBdr>
        <w:top w:val="none" w:sz="0" w:space="0" w:color="auto"/>
        <w:left w:val="none" w:sz="0" w:space="0" w:color="auto"/>
        <w:bottom w:val="none" w:sz="0" w:space="0" w:color="auto"/>
        <w:right w:val="none" w:sz="0" w:space="0" w:color="auto"/>
      </w:divBdr>
    </w:div>
    <w:div w:id="837426970">
      <w:bodyDiv w:val="1"/>
      <w:marLeft w:val="0"/>
      <w:marRight w:val="0"/>
      <w:marTop w:val="0"/>
      <w:marBottom w:val="0"/>
      <w:divBdr>
        <w:top w:val="none" w:sz="0" w:space="0" w:color="auto"/>
        <w:left w:val="none" w:sz="0" w:space="0" w:color="auto"/>
        <w:bottom w:val="none" w:sz="0" w:space="0" w:color="auto"/>
        <w:right w:val="none" w:sz="0" w:space="0" w:color="auto"/>
      </w:divBdr>
    </w:div>
    <w:div w:id="902718754">
      <w:bodyDiv w:val="1"/>
      <w:marLeft w:val="0"/>
      <w:marRight w:val="0"/>
      <w:marTop w:val="0"/>
      <w:marBottom w:val="0"/>
      <w:divBdr>
        <w:top w:val="none" w:sz="0" w:space="0" w:color="auto"/>
        <w:left w:val="none" w:sz="0" w:space="0" w:color="auto"/>
        <w:bottom w:val="none" w:sz="0" w:space="0" w:color="auto"/>
        <w:right w:val="none" w:sz="0" w:space="0" w:color="auto"/>
      </w:divBdr>
    </w:div>
    <w:div w:id="1213037090">
      <w:bodyDiv w:val="1"/>
      <w:marLeft w:val="0"/>
      <w:marRight w:val="0"/>
      <w:marTop w:val="0"/>
      <w:marBottom w:val="0"/>
      <w:divBdr>
        <w:top w:val="none" w:sz="0" w:space="0" w:color="auto"/>
        <w:left w:val="none" w:sz="0" w:space="0" w:color="auto"/>
        <w:bottom w:val="none" w:sz="0" w:space="0" w:color="auto"/>
        <w:right w:val="none" w:sz="0" w:space="0" w:color="auto"/>
      </w:divBdr>
    </w:div>
    <w:div w:id="1213269856">
      <w:bodyDiv w:val="1"/>
      <w:marLeft w:val="0"/>
      <w:marRight w:val="0"/>
      <w:marTop w:val="0"/>
      <w:marBottom w:val="0"/>
      <w:divBdr>
        <w:top w:val="none" w:sz="0" w:space="0" w:color="auto"/>
        <w:left w:val="none" w:sz="0" w:space="0" w:color="auto"/>
        <w:bottom w:val="none" w:sz="0" w:space="0" w:color="auto"/>
        <w:right w:val="none" w:sz="0" w:space="0" w:color="auto"/>
      </w:divBdr>
    </w:div>
    <w:div w:id="1216773358">
      <w:bodyDiv w:val="1"/>
      <w:marLeft w:val="0"/>
      <w:marRight w:val="0"/>
      <w:marTop w:val="0"/>
      <w:marBottom w:val="0"/>
      <w:divBdr>
        <w:top w:val="none" w:sz="0" w:space="0" w:color="auto"/>
        <w:left w:val="none" w:sz="0" w:space="0" w:color="auto"/>
        <w:bottom w:val="none" w:sz="0" w:space="0" w:color="auto"/>
        <w:right w:val="none" w:sz="0" w:space="0" w:color="auto"/>
      </w:divBdr>
    </w:div>
    <w:div w:id="1552423309">
      <w:bodyDiv w:val="1"/>
      <w:marLeft w:val="0"/>
      <w:marRight w:val="0"/>
      <w:marTop w:val="0"/>
      <w:marBottom w:val="0"/>
      <w:divBdr>
        <w:top w:val="none" w:sz="0" w:space="0" w:color="auto"/>
        <w:left w:val="none" w:sz="0" w:space="0" w:color="auto"/>
        <w:bottom w:val="none" w:sz="0" w:space="0" w:color="auto"/>
        <w:right w:val="none" w:sz="0" w:space="0" w:color="auto"/>
      </w:divBdr>
    </w:div>
    <w:div w:id="1723863144">
      <w:bodyDiv w:val="1"/>
      <w:marLeft w:val="0"/>
      <w:marRight w:val="0"/>
      <w:marTop w:val="0"/>
      <w:marBottom w:val="0"/>
      <w:divBdr>
        <w:top w:val="none" w:sz="0" w:space="0" w:color="auto"/>
        <w:left w:val="none" w:sz="0" w:space="0" w:color="auto"/>
        <w:bottom w:val="none" w:sz="0" w:space="0" w:color="auto"/>
        <w:right w:val="none" w:sz="0" w:space="0" w:color="auto"/>
      </w:divBdr>
      <w:divsChild>
        <w:div w:id="579750016">
          <w:marLeft w:val="547"/>
          <w:marRight w:val="0"/>
          <w:marTop w:val="115"/>
          <w:marBottom w:val="0"/>
          <w:divBdr>
            <w:top w:val="none" w:sz="0" w:space="0" w:color="auto"/>
            <w:left w:val="none" w:sz="0" w:space="0" w:color="auto"/>
            <w:bottom w:val="none" w:sz="0" w:space="0" w:color="auto"/>
            <w:right w:val="none" w:sz="0" w:space="0" w:color="auto"/>
          </w:divBdr>
        </w:div>
        <w:div w:id="702481332">
          <w:marLeft w:val="547"/>
          <w:marRight w:val="0"/>
          <w:marTop w:val="115"/>
          <w:marBottom w:val="0"/>
          <w:divBdr>
            <w:top w:val="none" w:sz="0" w:space="0" w:color="auto"/>
            <w:left w:val="none" w:sz="0" w:space="0" w:color="auto"/>
            <w:bottom w:val="none" w:sz="0" w:space="0" w:color="auto"/>
            <w:right w:val="none" w:sz="0" w:space="0" w:color="auto"/>
          </w:divBdr>
        </w:div>
      </w:divsChild>
    </w:div>
    <w:div w:id="2006787693">
      <w:bodyDiv w:val="1"/>
      <w:marLeft w:val="0"/>
      <w:marRight w:val="0"/>
      <w:marTop w:val="0"/>
      <w:marBottom w:val="0"/>
      <w:divBdr>
        <w:top w:val="none" w:sz="0" w:space="0" w:color="auto"/>
        <w:left w:val="none" w:sz="0" w:space="0" w:color="auto"/>
        <w:bottom w:val="none" w:sz="0" w:space="0" w:color="auto"/>
        <w:right w:val="none" w:sz="0" w:space="0" w:color="auto"/>
      </w:divBdr>
    </w:div>
    <w:div w:id="2075395366">
      <w:bodyDiv w:val="1"/>
      <w:marLeft w:val="0"/>
      <w:marRight w:val="0"/>
      <w:marTop w:val="0"/>
      <w:marBottom w:val="0"/>
      <w:divBdr>
        <w:top w:val="none" w:sz="0" w:space="0" w:color="auto"/>
        <w:left w:val="none" w:sz="0" w:space="0" w:color="auto"/>
        <w:bottom w:val="none" w:sz="0" w:space="0" w:color="auto"/>
        <w:right w:val="none" w:sz="0" w:space="0" w:color="auto"/>
      </w:divBdr>
    </w:div>
    <w:div w:id="2125222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3.emf"/><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107" Type="http://schemas.openxmlformats.org/officeDocument/2006/relationships/image" Target="media/image96.png"/><Relationship Id="rId11" Type="http://schemas.openxmlformats.org/officeDocument/2006/relationships/image" Target="media/image4.tiff"/><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jpe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2" Type="http://schemas.openxmlformats.org/officeDocument/2006/relationships/image" Target="media/image14.emf"/><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12" Type="http://schemas.openxmlformats.org/officeDocument/2006/relationships/image" Target="media/image5.jpe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jpe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6" Type="http://schemas.openxmlformats.org/officeDocument/2006/relationships/footnotes" Target="footnotes.xml"/><Relationship Id="rId23" Type="http://schemas.openxmlformats.org/officeDocument/2006/relationships/image" Target="media/image15.emf"/><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13" Type="http://schemas.openxmlformats.org/officeDocument/2006/relationships/image" Target="media/image6.png"/><Relationship Id="rId109" Type="http://schemas.openxmlformats.org/officeDocument/2006/relationships/image" Target="media/image98.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4" Type="http://schemas.openxmlformats.org/officeDocument/2006/relationships/image" Target="media/image16.pn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19" Type="http://schemas.openxmlformats.org/officeDocument/2006/relationships/image" Target="media/image11.emf"/><Relationship Id="rId14" Type="http://schemas.openxmlformats.org/officeDocument/2006/relationships/image" Target="media/image7.png"/><Relationship Id="rId30" Type="http://schemas.openxmlformats.org/officeDocument/2006/relationships/image" Target="media/image19.wmf"/><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header" Target="header1.xml"/><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2.emf"/><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15" Type="http://schemas.openxmlformats.org/officeDocument/2006/relationships/image" Target="media/image8.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3.wmf"/><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9.png"/><Relationship Id="rId210" Type="http://schemas.openxmlformats.org/officeDocument/2006/relationships/image" Target="media/image199.png"/><Relationship Id="rId26" Type="http://schemas.openxmlformats.org/officeDocument/2006/relationships/header" Target="header2.xm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hyperlink" Target="http://geant4.cern.ch/" TargetMode="Externa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7" Type="http://schemas.openxmlformats.org/officeDocument/2006/relationships/footer" Target="footer1.xml"/><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17" Type="http://schemas.openxmlformats.org/officeDocument/2006/relationships/image" Target="media/image9.jpe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8" Type="http://schemas.openxmlformats.org/officeDocument/2006/relationships/footer" Target="footer2.xml"/><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18" Type="http://schemas.openxmlformats.org/officeDocument/2006/relationships/image" Target="media/image10.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jpe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40D486-D325-4BAD-9C49-7F8273936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91</Pages>
  <Words>30378</Words>
  <Characters>334365</Characters>
  <Application>Microsoft Office Word</Application>
  <DocSecurity>0</DocSecurity>
  <Lines>2786</Lines>
  <Paragraphs>728</Paragraphs>
  <ScaleCrop>false</ScaleCrop>
  <HeadingPairs>
    <vt:vector size="8" baseType="variant">
      <vt:variant>
        <vt:lpstr>Titel</vt:lpstr>
      </vt:variant>
      <vt:variant>
        <vt:i4>1</vt:i4>
      </vt:variant>
      <vt:variant>
        <vt:lpstr>タイトル</vt:lpstr>
      </vt:variant>
      <vt:variant>
        <vt:i4>1</vt:i4>
      </vt:variant>
      <vt:variant>
        <vt:lpstr>Title</vt:lpstr>
      </vt:variant>
      <vt:variant>
        <vt:i4>1</vt:i4>
      </vt:variant>
      <vt:variant>
        <vt:lpstr>Rubrik</vt:lpstr>
      </vt:variant>
      <vt:variant>
        <vt:i4>1</vt:i4>
      </vt:variant>
    </vt:vector>
  </HeadingPairs>
  <TitlesOfParts>
    <vt:vector size="4" baseType="lpstr">
      <vt:lpstr>Report TG113 Radiography</vt:lpstr>
      <vt:lpstr>Report TG113 Radiography</vt:lpstr>
      <vt:lpstr>Report TG113 Radiography</vt:lpstr>
      <vt:lpstr>Final draft CT management</vt:lpstr>
    </vt:vector>
  </TitlesOfParts>
  <Manager/>
  <Company>ICRP</Company>
  <LinksUpToDate>false</LinksUpToDate>
  <CharactersWithSpaces>364015</CharactersWithSpaces>
  <SharedDoc>false</SharedDoc>
  <HyperlinkBase/>
  <HLinks>
    <vt:vector size="108" baseType="variant">
      <vt:variant>
        <vt:i4>6029331</vt:i4>
      </vt:variant>
      <vt:variant>
        <vt:i4>102</vt:i4>
      </vt:variant>
      <vt:variant>
        <vt:i4>0</vt:i4>
      </vt:variant>
      <vt:variant>
        <vt:i4>5</vt:i4>
      </vt:variant>
      <vt:variant>
        <vt:lpwstr>http://www.icrpaedia.org/</vt:lpwstr>
      </vt:variant>
      <vt:variant>
        <vt:lpwstr/>
      </vt:variant>
      <vt:variant>
        <vt:i4>4194304</vt:i4>
      </vt:variant>
      <vt:variant>
        <vt:i4>99</vt:i4>
      </vt:variant>
      <vt:variant>
        <vt:i4>0</vt:i4>
      </vt:variant>
      <vt:variant>
        <vt:i4>5</vt:i4>
      </vt:variant>
      <vt:variant>
        <vt:lpwstr>http://www.webaddress.co.uk/</vt:lpwstr>
      </vt:variant>
      <vt:variant>
        <vt:lpwstr/>
      </vt:variant>
      <vt:variant>
        <vt:i4>3932214</vt:i4>
      </vt:variant>
      <vt:variant>
        <vt:i4>96</vt:i4>
      </vt:variant>
      <vt:variant>
        <vt:i4>0</vt:i4>
      </vt:variant>
      <vt:variant>
        <vt:i4>5</vt:i4>
      </vt:variant>
      <vt:variant>
        <vt:lpwstr>http://www.nlm.nih.gov/tsd/serials/lji.html</vt:lpwstr>
      </vt:variant>
      <vt:variant>
        <vt:lpwstr/>
      </vt:variant>
      <vt:variant>
        <vt:i4>4194304</vt:i4>
      </vt:variant>
      <vt:variant>
        <vt:i4>93</vt:i4>
      </vt:variant>
      <vt:variant>
        <vt:i4>0</vt:i4>
      </vt:variant>
      <vt:variant>
        <vt:i4>5</vt:i4>
      </vt:variant>
      <vt:variant>
        <vt:lpwstr>http://www.webaddress.co.uk/</vt:lpwstr>
      </vt:variant>
      <vt:variant>
        <vt:lpwstr/>
      </vt:variant>
      <vt:variant>
        <vt:i4>1703994</vt:i4>
      </vt:variant>
      <vt:variant>
        <vt:i4>83</vt:i4>
      </vt:variant>
      <vt:variant>
        <vt:i4>0</vt:i4>
      </vt:variant>
      <vt:variant>
        <vt:i4>5</vt:i4>
      </vt:variant>
      <vt:variant>
        <vt:lpwstr/>
      </vt:variant>
      <vt:variant>
        <vt:lpwstr>_Toc89858627</vt:lpwstr>
      </vt:variant>
      <vt:variant>
        <vt:i4>1769530</vt:i4>
      </vt:variant>
      <vt:variant>
        <vt:i4>77</vt:i4>
      </vt:variant>
      <vt:variant>
        <vt:i4>0</vt:i4>
      </vt:variant>
      <vt:variant>
        <vt:i4>5</vt:i4>
      </vt:variant>
      <vt:variant>
        <vt:lpwstr/>
      </vt:variant>
      <vt:variant>
        <vt:lpwstr>_Toc89858626</vt:lpwstr>
      </vt:variant>
      <vt:variant>
        <vt:i4>1572922</vt:i4>
      </vt:variant>
      <vt:variant>
        <vt:i4>71</vt:i4>
      </vt:variant>
      <vt:variant>
        <vt:i4>0</vt:i4>
      </vt:variant>
      <vt:variant>
        <vt:i4>5</vt:i4>
      </vt:variant>
      <vt:variant>
        <vt:lpwstr/>
      </vt:variant>
      <vt:variant>
        <vt:lpwstr>_Toc89858625</vt:lpwstr>
      </vt:variant>
      <vt:variant>
        <vt:i4>1638458</vt:i4>
      </vt:variant>
      <vt:variant>
        <vt:i4>65</vt:i4>
      </vt:variant>
      <vt:variant>
        <vt:i4>0</vt:i4>
      </vt:variant>
      <vt:variant>
        <vt:i4>5</vt:i4>
      </vt:variant>
      <vt:variant>
        <vt:lpwstr/>
      </vt:variant>
      <vt:variant>
        <vt:lpwstr>_Toc89858624</vt:lpwstr>
      </vt:variant>
      <vt:variant>
        <vt:i4>1966138</vt:i4>
      </vt:variant>
      <vt:variant>
        <vt:i4>59</vt:i4>
      </vt:variant>
      <vt:variant>
        <vt:i4>0</vt:i4>
      </vt:variant>
      <vt:variant>
        <vt:i4>5</vt:i4>
      </vt:variant>
      <vt:variant>
        <vt:lpwstr/>
      </vt:variant>
      <vt:variant>
        <vt:lpwstr>_Toc89858623</vt:lpwstr>
      </vt:variant>
      <vt:variant>
        <vt:i4>2031674</vt:i4>
      </vt:variant>
      <vt:variant>
        <vt:i4>53</vt:i4>
      </vt:variant>
      <vt:variant>
        <vt:i4>0</vt:i4>
      </vt:variant>
      <vt:variant>
        <vt:i4>5</vt:i4>
      </vt:variant>
      <vt:variant>
        <vt:lpwstr/>
      </vt:variant>
      <vt:variant>
        <vt:lpwstr>_Toc89858622</vt:lpwstr>
      </vt:variant>
      <vt:variant>
        <vt:i4>1835066</vt:i4>
      </vt:variant>
      <vt:variant>
        <vt:i4>47</vt:i4>
      </vt:variant>
      <vt:variant>
        <vt:i4>0</vt:i4>
      </vt:variant>
      <vt:variant>
        <vt:i4>5</vt:i4>
      </vt:variant>
      <vt:variant>
        <vt:lpwstr/>
      </vt:variant>
      <vt:variant>
        <vt:lpwstr>_Toc89858621</vt:lpwstr>
      </vt:variant>
      <vt:variant>
        <vt:i4>1900602</vt:i4>
      </vt:variant>
      <vt:variant>
        <vt:i4>41</vt:i4>
      </vt:variant>
      <vt:variant>
        <vt:i4>0</vt:i4>
      </vt:variant>
      <vt:variant>
        <vt:i4>5</vt:i4>
      </vt:variant>
      <vt:variant>
        <vt:lpwstr/>
      </vt:variant>
      <vt:variant>
        <vt:lpwstr>_Toc89858620</vt:lpwstr>
      </vt:variant>
      <vt:variant>
        <vt:i4>1310777</vt:i4>
      </vt:variant>
      <vt:variant>
        <vt:i4>35</vt:i4>
      </vt:variant>
      <vt:variant>
        <vt:i4>0</vt:i4>
      </vt:variant>
      <vt:variant>
        <vt:i4>5</vt:i4>
      </vt:variant>
      <vt:variant>
        <vt:lpwstr/>
      </vt:variant>
      <vt:variant>
        <vt:lpwstr>_Toc89858619</vt:lpwstr>
      </vt:variant>
      <vt:variant>
        <vt:i4>1376313</vt:i4>
      </vt:variant>
      <vt:variant>
        <vt:i4>29</vt:i4>
      </vt:variant>
      <vt:variant>
        <vt:i4>0</vt:i4>
      </vt:variant>
      <vt:variant>
        <vt:i4>5</vt:i4>
      </vt:variant>
      <vt:variant>
        <vt:lpwstr/>
      </vt:variant>
      <vt:variant>
        <vt:lpwstr>_Toc89858618</vt:lpwstr>
      </vt:variant>
      <vt:variant>
        <vt:i4>1703993</vt:i4>
      </vt:variant>
      <vt:variant>
        <vt:i4>23</vt:i4>
      </vt:variant>
      <vt:variant>
        <vt:i4>0</vt:i4>
      </vt:variant>
      <vt:variant>
        <vt:i4>5</vt:i4>
      </vt:variant>
      <vt:variant>
        <vt:lpwstr/>
      </vt:variant>
      <vt:variant>
        <vt:lpwstr>_Toc89858617</vt:lpwstr>
      </vt:variant>
      <vt:variant>
        <vt:i4>1769529</vt:i4>
      </vt:variant>
      <vt:variant>
        <vt:i4>17</vt:i4>
      </vt:variant>
      <vt:variant>
        <vt:i4>0</vt:i4>
      </vt:variant>
      <vt:variant>
        <vt:i4>5</vt:i4>
      </vt:variant>
      <vt:variant>
        <vt:lpwstr/>
      </vt:variant>
      <vt:variant>
        <vt:lpwstr>_Toc89858616</vt:lpwstr>
      </vt:variant>
      <vt:variant>
        <vt:i4>1572921</vt:i4>
      </vt:variant>
      <vt:variant>
        <vt:i4>11</vt:i4>
      </vt:variant>
      <vt:variant>
        <vt:i4>0</vt:i4>
      </vt:variant>
      <vt:variant>
        <vt:i4>5</vt:i4>
      </vt:variant>
      <vt:variant>
        <vt:lpwstr/>
      </vt:variant>
      <vt:variant>
        <vt:lpwstr>_Toc89858615</vt:lpwstr>
      </vt:variant>
      <vt:variant>
        <vt:i4>1638457</vt:i4>
      </vt:variant>
      <vt:variant>
        <vt:i4>5</vt:i4>
      </vt:variant>
      <vt:variant>
        <vt:i4>0</vt:i4>
      </vt:variant>
      <vt:variant>
        <vt:i4>5</vt:i4>
      </vt:variant>
      <vt:variant>
        <vt:lpwstr/>
      </vt:variant>
      <vt:variant>
        <vt:lpwstr>_Toc89858614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TG113 Radiography</dc:title>
  <dc:subject/>
  <dc:creator>Nina Petoussi-Henss</dc:creator>
  <cp:keywords/>
  <dc:description/>
  <cp:lastModifiedBy>Keisuke Nakamura</cp:lastModifiedBy>
  <cp:revision>3</cp:revision>
  <cp:lastPrinted>2024-05-02T12:23:00Z</cp:lastPrinted>
  <dcterms:created xsi:type="dcterms:W3CDTF">2024-05-14T21:21:00Z</dcterms:created>
  <dcterms:modified xsi:type="dcterms:W3CDTF">2024-05-15T13:09:00Z</dcterms:modified>
  <cp:category/>
</cp:coreProperties>
</file>